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D4" w:rsidRDefault="0001391E">
      <w:r w:rsidRPr="00454A1D">
        <w:rPr>
          <w:noProof/>
        </w:rPr>
        <w:drawing>
          <wp:inline distT="0" distB="0" distL="0" distR="0" wp14:anchorId="1260ACD9" wp14:editId="21D3AC11">
            <wp:extent cx="1392445" cy="532015"/>
            <wp:effectExtent l="0" t="0" r="0" b="1905"/>
            <wp:docPr id="4" name="Picture 4"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445" cy="532015"/>
                    </a:xfrm>
                    <a:prstGeom prst="rect">
                      <a:avLst/>
                    </a:prstGeom>
                    <a:noFill/>
                    <a:ln>
                      <a:noFill/>
                    </a:ln>
                  </pic:spPr>
                </pic:pic>
              </a:graphicData>
            </a:graphic>
          </wp:inline>
        </w:drawing>
      </w:r>
      <w:r>
        <w:tab/>
      </w:r>
      <w:r>
        <w:tab/>
      </w:r>
      <w:r>
        <w:tab/>
      </w:r>
      <w:r>
        <w:tab/>
      </w:r>
      <w:r>
        <w:tab/>
      </w:r>
      <w:r>
        <w:tab/>
      </w:r>
      <w:r>
        <w:tab/>
      </w:r>
      <w:r>
        <w:tab/>
        <w:t>June 2018</w:t>
      </w:r>
    </w:p>
    <w:p w:rsidR="00E651D9" w:rsidRDefault="00E651D9" w:rsidP="00BC33D1">
      <w:pPr>
        <w:jc w:val="center"/>
        <w:rPr>
          <w:b/>
          <w:sz w:val="28"/>
          <w:szCs w:val="28"/>
        </w:rPr>
      </w:pPr>
    </w:p>
    <w:p w:rsidR="00BC33D1" w:rsidRPr="00BA61C6" w:rsidRDefault="00BC33D1" w:rsidP="00BC33D1">
      <w:pPr>
        <w:jc w:val="center"/>
        <w:rPr>
          <w:b/>
          <w:sz w:val="28"/>
          <w:szCs w:val="28"/>
        </w:rPr>
      </w:pPr>
      <w:r w:rsidRPr="00BA61C6">
        <w:rPr>
          <w:b/>
          <w:sz w:val="28"/>
          <w:szCs w:val="28"/>
        </w:rPr>
        <w:t>D</w:t>
      </w:r>
      <w:r w:rsidR="00D707C6">
        <w:rPr>
          <w:b/>
          <w:sz w:val="28"/>
          <w:szCs w:val="28"/>
        </w:rPr>
        <w:t xml:space="preserve">OES </w:t>
      </w:r>
      <w:r w:rsidRPr="00BA61C6">
        <w:rPr>
          <w:b/>
          <w:sz w:val="28"/>
          <w:szCs w:val="28"/>
        </w:rPr>
        <w:t xml:space="preserve">YOUR AGENCY </w:t>
      </w:r>
      <w:r w:rsidR="00D707C6">
        <w:rPr>
          <w:b/>
          <w:sz w:val="28"/>
          <w:szCs w:val="28"/>
        </w:rPr>
        <w:t xml:space="preserve">HAVE </w:t>
      </w:r>
      <w:r w:rsidRPr="00BA61C6">
        <w:rPr>
          <w:b/>
          <w:sz w:val="28"/>
          <w:szCs w:val="28"/>
        </w:rPr>
        <w:t>AN ACADEMIC RESEARCH NEED?</w:t>
      </w:r>
      <w:r w:rsidR="00BA61C6" w:rsidRPr="00BA61C6">
        <w:rPr>
          <w:b/>
          <w:sz w:val="28"/>
          <w:szCs w:val="28"/>
        </w:rPr>
        <w:t>!</w:t>
      </w:r>
    </w:p>
    <w:p w:rsidR="00A6101C" w:rsidRDefault="00A6101C" w:rsidP="00BC33D1">
      <w:pPr>
        <w:spacing w:after="0" w:line="276" w:lineRule="auto"/>
        <w:rPr>
          <w:b/>
          <w:i/>
        </w:rPr>
      </w:pPr>
    </w:p>
    <w:p w:rsidR="003666BB" w:rsidRDefault="00AF40CB" w:rsidP="003666BB">
      <w:pPr>
        <w:spacing w:after="0" w:line="276" w:lineRule="auto"/>
      </w:pPr>
      <w:r>
        <w:rPr>
          <w:b/>
          <w:i/>
        </w:rPr>
        <w:t xml:space="preserve">Hey!  </w:t>
      </w:r>
      <w:r w:rsidR="00BC33D1">
        <w:t xml:space="preserve">If someone at your agency has mentioned a need for </w:t>
      </w:r>
      <w:r w:rsidR="00D707C6">
        <w:t xml:space="preserve">faculty-directed applied </w:t>
      </w:r>
      <w:r w:rsidR="00BC33D1">
        <w:t>academic research</w:t>
      </w:r>
      <w:r w:rsidR="00CD6E23">
        <w:t>,</w:t>
      </w:r>
      <w:r w:rsidR="00BC33D1">
        <w:t xml:space="preserve"> and you</w:t>
      </w:r>
      <w:r w:rsidR="00FC613B">
        <w:t>r agency</w:t>
      </w:r>
      <w:r w:rsidR="00BC33D1">
        <w:t xml:space="preserve"> would like to avoid</w:t>
      </w:r>
      <w:r w:rsidR="00E940B9">
        <w:t xml:space="preserve"> going through</w:t>
      </w:r>
      <w:r w:rsidR="00BC33D1">
        <w:t xml:space="preserve"> a stand-alone RFP process that can</w:t>
      </w:r>
      <w:r w:rsidR="00CE5D27">
        <w:t xml:space="preserve"> take a fair amount of </w:t>
      </w:r>
      <w:r w:rsidR="00BC33D1">
        <w:t xml:space="preserve">time, you should know about </w:t>
      </w:r>
      <w:bookmarkStart w:id="0" w:name="_Hlk516234236"/>
      <w:r w:rsidR="00BC33D1">
        <w:t xml:space="preserve">the </w:t>
      </w:r>
      <w:r w:rsidR="00A73E72">
        <w:t>Town+Gown</w:t>
      </w:r>
      <w:r w:rsidR="00BC33D1">
        <w:t xml:space="preserve"> Master Academic Consortium Contract</w:t>
      </w:r>
      <w:r w:rsidR="00AC133B">
        <w:t xml:space="preserve">, </w:t>
      </w:r>
      <w:r w:rsidR="00D62522">
        <w:t>for</w:t>
      </w:r>
      <w:r w:rsidR="00AC133B">
        <w:t xml:space="preserve"> which </w:t>
      </w:r>
      <w:r w:rsidR="00CD6E23">
        <w:t>Town+Gown/</w:t>
      </w:r>
      <w:r w:rsidR="00AC133B">
        <w:t>New York City Department of Design and Construction (</w:t>
      </w:r>
      <w:r w:rsidR="00AC133B">
        <w:rPr>
          <w:b/>
        </w:rPr>
        <w:t>DDC</w:t>
      </w:r>
      <w:r w:rsidR="00AC133B">
        <w:t>) is the administrator</w:t>
      </w:r>
      <w:r w:rsidR="00E577A4">
        <w:t xml:space="preserve"> (the </w:t>
      </w:r>
      <w:r w:rsidR="00E577A4" w:rsidRPr="00F82309">
        <w:rPr>
          <w:b/>
        </w:rPr>
        <w:t>Master Contract</w:t>
      </w:r>
      <w:r w:rsidR="00E577A4">
        <w:t>)</w:t>
      </w:r>
      <w:r w:rsidR="00AC133B">
        <w:t>,</w:t>
      </w:r>
      <w:bookmarkEnd w:id="0"/>
      <w:r w:rsidR="00BC33D1">
        <w:t xml:space="preserve"> that can take as little as 90 days</w:t>
      </w:r>
      <w:r w:rsidR="00E577A4">
        <w:t xml:space="preserve"> from the submission of a </w:t>
      </w:r>
      <w:r w:rsidR="001D2770">
        <w:t>T</w:t>
      </w:r>
      <w:r w:rsidR="00F82309">
        <w:t>own</w:t>
      </w:r>
      <w:r w:rsidR="001D2770">
        <w:t>+G</w:t>
      </w:r>
      <w:r w:rsidR="00F82309">
        <w:t>own</w:t>
      </w:r>
      <w:r w:rsidR="001D2770">
        <w:t xml:space="preserve"> RFP</w:t>
      </w:r>
      <w:r w:rsidR="00E577A4">
        <w:t xml:space="preserve"> </w:t>
      </w:r>
      <w:r w:rsidR="00F82309">
        <w:t xml:space="preserve">(defined below) </w:t>
      </w:r>
      <w:r w:rsidR="00E577A4">
        <w:t xml:space="preserve">to </w:t>
      </w:r>
      <w:r w:rsidR="00A73E72">
        <w:t>Town+Gown</w:t>
      </w:r>
      <w:r w:rsidR="00E577A4">
        <w:t xml:space="preserve">/DDC, as </w:t>
      </w:r>
      <w:r w:rsidR="00544FEB">
        <w:t>administrator of the Master Contract</w:t>
      </w:r>
      <w:r w:rsidR="00534C59">
        <w:t>,</w:t>
      </w:r>
      <w:r w:rsidR="00E577A4">
        <w:t xml:space="preserve"> to </w:t>
      </w:r>
      <w:r w:rsidR="00534C59">
        <w:t>T</w:t>
      </w:r>
      <w:r w:rsidR="00E577A4">
        <w:t xml:space="preserve">ask </w:t>
      </w:r>
      <w:r w:rsidR="00534C59">
        <w:t>O</w:t>
      </w:r>
      <w:r w:rsidR="00E577A4">
        <w:t>rder registration, a</w:t>
      </w:r>
      <w:r w:rsidR="00BC33D1">
        <w:t>ssuming everyone keeps to a schedule</w:t>
      </w:r>
      <w:r w:rsidR="00E577A4">
        <w:t xml:space="preserve"> and you are aware of </w:t>
      </w:r>
      <w:r w:rsidR="00544FEB">
        <w:t xml:space="preserve">those </w:t>
      </w:r>
      <w:r w:rsidR="00E577A4">
        <w:t xml:space="preserve">circumstances, </w:t>
      </w:r>
      <w:r w:rsidR="00544FEB">
        <w:t xml:space="preserve">which </w:t>
      </w:r>
      <w:r w:rsidR="00E577A4">
        <w:t>we have learned from experience, that can increase complexity and add time to the process.</w:t>
      </w:r>
      <w:r w:rsidR="003666BB">
        <w:t xml:space="preserve">  </w:t>
      </w:r>
      <w:r w:rsidR="001F0224" w:rsidRPr="00445D42">
        <w:t>This document is intended</w:t>
      </w:r>
      <w:r w:rsidR="003666BB">
        <w:t xml:space="preserve"> to provide information to both program and ACCO staff at your agency about the Master Contract for the moment when someone at your agency mentions a need for faculty-directed research.</w:t>
      </w:r>
    </w:p>
    <w:p w:rsidR="003666BB" w:rsidRDefault="003666BB" w:rsidP="00E940B9">
      <w:pPr>
        <w:pStyle w:val="NormalWeb"/>
        <w:spacing w:before="0" w:beforeAutospacing="0" w:after="0" w:afterAutospacing="0" w:line="276" w:lineRule="auto"/>
        <w:rPr>
          <w:rFonts w:asciiTheme="minorHAnsi" w:hAnsiTheme="minorHAnsi"/>
          <w:sz w:val="22"/>
          <w:szCs w:val="22"/>
        </w:rPr>
      </w:pPr>
    </w:p>
    <w:p w:rsidR="001F0224" w:rsidRDefault="00CD6E23" w:rsidP="00E940B9">
      <w:pPr>
        <w:pStyle w:val="NormalWeb"/>
        <w:spacing w:before="0" w:beforeAutospacing="0" w:after="0" w:afterAutospacing="0" w:line="276" w:lineRule="auto"/>
        <w:rPr>
          <w:rFonts w:asciiTheme="minorHAnsi" w:hAnsiTheme="minorHAnsi"/>
          <w:sz w:val="22"/>
          <w:szCs w:val="22"/>
        </w:rPr>
      </w:pPr>
      <w:bookmarkStart w:id="1" w:name="_Hlk516491564"/>
      <w:r>
        <w:rPr>
          <w:rFonts w:asciiTheme="minorHAnsi" w:hAnsiTheme="minorHAnsi"/>
          <w:sz w:val="22"/>
          <w:szCs w:val="22"/>
        </w:rPr>
        <w:t>T</w:t>
      </w:r>
      <w:r w:rsidR="003666BB">
        <w:rPr>
          <w:rFonts w:asciiTheme="minorHAnsi" w:hAnsiTheme="minorHAnsi"/>
          <w:sz w:val="22"/>
          <w:szCs w:val="22"/>
        </w:rPr>
        <w:t>his document is intended</w:t>
      </w:r>
      <w:r w:rsidR="00445D42">
        <w:rPr>
          <w:rFonts w:asciiTheme="minorHAnsi" w:hAnsiTheme="minorHAnsi"/>
          <w:sz w:val="22"/>
          <w:szCs w:val="22"/>
        </w:rPr>
        <w:t xml:space="preserve">, in conjunction with </w:t>
      </w:r>
      <w:r w:rsidR="001F0224" w:rsidRPr="00445D42">
        <w:rPr>
          <w:rFonts w:asciiTheme="minorHAnsi" w:hAnsiTheme="minorHAnsi"/>
          <w:sz w:val="22"/>
          <w:szCs w:val="22"/>
        </w:rPr>
        <w:t xml:space="preserve">the </w:t>
      </w:r>
      <w:r>
        <w:rPr>
          <w:rFonts w:asciiTheme="minorHAnsi" w:hAnsiTheme="minorHAnsi"/>
          <w:sz w:val="22"/>
          <w:szCs w:val="22"/>
        </w:rPr>
        <w:t xml:space="preserve">instruction </w:t>
      </w:r>
      <w:r w:rsidR="001F0224" w:rsidRPr="00445D42">
        <w:rPr>
          <w:rFonts w:asciiTheme="minorHAnsi" w:hAnsiTheme="minorHAnsi"/>
          <w:sz w:val="22"/>
          <w:szCs w:val="22"/>
        </w:rPr>
        <w:t>memos preceding all template form documents (Town+Gown RFP, Proposal in Response and Task Order)</w:t>
      </w:r>
      <w:r w:rsidR="00445D42">
        <w:rPr>
          <w:rFonts w:asciiTheme="minorHAnsi" w:hAnsiTheme="minorHAnsi"/>
          <w:sz w:val="22"/>
          <w:szCs w:val="22"/>
        </w:rPr>
        <w:t xml:space="preserve"> that are downloadable at the Town+Gown website (</w:t>
      </w:r>
      <w:hyperlink r:id="rId9" w:anchor="funded" w:history="1">
        <w:r w:rsidRPr="00E65A87">
          <w:rPr>
            <w:rStyle w:val="Hyperlink"/>
            <w:rFonts w:asciiTheme="minorHAnsi" w:hAnsiTheme="minorHAnsi"/>
            <w:sz w:val="22"/>
            <w:szCs w:val="22"/>
          </w:rPr>
          <w:t>http://www1.nyc.gov/site/ddc/about/town-gown-components.page#funded</w:t>
        </w:r>
      </w:hyperlink>
      <w:r w:rsidR="00445D42">
        <w:rPr>
          <w:rFonts w:asciiTheme="minorHAnsi" w:hAnsiTheme="minorHAnsi"/>
          <w:sz w:val="22"/>
          <w:szCs w:val="22"/>
        </w:rPr>
        <w:t>)</w:t>
      </w:r>
      <w:r>
        <w:rPr>
          <w:rFonts w:asciiTheme="minorHAnsi" w:hAnsiTheme="minorHAnsi"/>
          <w:sz w:val="22"/>
          <w:szCs w:val="22"/>
        </w:rPr>
        <w:t>,</w:t>
      </w:r>
      <w:r w:rsidR="001F0224" w:rsidRPr="00445D42">
        <w:rPr>
          <w:rFonts w:asciiTheme="minorHAnsi" w:hAnsiTheme="minorHAnsi"/>
          <w:sz w:val="22"/>
          <w:szCs w:val="22"/>
        </w:rPr>
        <w:t xml:space="preserve"> to provide Requestors with all the information </w:t>
      </w:r>
      <w:r w:rsidR="00445D42">
        <w:rPr>
          <w:rFonts w:asciiTheme="minorHAnsi" w:hAnsiTheme="minorHAnsi"/>
          <w:sz w:val="22"/>
          <w:szCs w:val="22"/>
        </w:rPr>
        <w:t xml:space="preserve">they will need to access the Master Contract.  </w:t>
      </w:r>
      <w:r>
        <w:rPr>
          <w:rFonts w:asciiTheme="minorHAnsi" w:hAnsiTheme="minorHAnsi"/>
          <w:sz w:val="22"/>
          <w:szCs w:val="22"/>
        </w:rPr>
        <w:t>Town+Gown/</w:t>
      </w:r>
      <w:r w:rsidR="001F0224" w:rsidRPr="00445D42">
        <w:rPr>
          <w:rFonts w:asciiTheme="minorHAnsi" w:hAnsiTheme="minorHAnsi"/>
          <w:sz w:val="22"/>
          <w:szCs w:val="22"/>
        </w:rPr>
        <w:t xml:space="preserve">DDC, as administrator of the Master Contract, </w:t>
      </w:r>
      <w:r>
        <w:rPr>
          <w:rFonts w:asciiTheme="minorHAnsi" w:hAnsiTheme="minorHAnsi"/>
          <w:sz w:val="22"/>
          <w:szCs w:val="22"/>
        </w:rPr>
        <w:t xml:space="preserve">however, </w:t>
      </w:r>
      <w:r w:rsidR="001F0224" w:rsidRPr="00445D42">
        <w:rPr>
          <w:rFonts w:asciiTheme="minorHAnsi" w:hAnsiTheme="minorHAnsi"/>
          <w:sz w:val="22"/>
          <w:szCs w:val="22"/>
        </w:rPr>
        <w:t xml:space="preserve">is available to provide </w:t>
      </w:r>
      <w:r w:rsidR="00445D42">
        <w:rPr>
          <w:rFonts w:asciiTheme="minorHAnsi" w:hAnsiTheme="minorHAnsi"/>
          <w:sz w:val="22"/>
          <w:szCs w:val="22"/>
        </w:rPr>
        <w:t xml:space="preserve">additional </w:t>
      </w:r>
      <w:r w:rsidR="001F0224" w:rsidRPr="00445D42">
        <w:rPr>
          <w:rFonts w:asciiTheme="minorHAnsi" w:hAnsiTheme="minorHAnsi"/>
          <w:sz w:val="22"/>
          <w:szCs w:val="22"/>
        </w:rPr>
        <w:t>guidance</w:t>
      </w:r>
      <w:r w:rsidR="00445D42">
        <w:rPr>
          <w:rFonts w:asciiTheme="minorHAnsi" w:hAnsiTheme="minorHAnsi"/>
          <w:sz w:val="22"/>
          <w:szCs w:val="22"/>
        </w:rPr>
        <w:t>, if necessary; please contact</w:t>
      </w:r>
      <w:r>
        <w:rPr>
          <w:rFonts w:asciiTheme="minorHAnsi" w:hAnsiTheme="minorHAnsi"/>
          <w:sz w:val="22"/>
          <w:szCs w:val="22"/>
        </w:rPr>
        <w:t xml:space="preserve"> </w:t>
      </w:r>
      <w:bookmarkEnd w:id="1"/>
      <w:r>
        <w:rPr>
          <w:rFonts w:asciiTheme="minorHAnsi" w:hAnsiTheme="minorHAnsi"/>
          <w:sz w:val="22"/>
          <w:szCs w:val="22"/>
        </w:rPr>
        <w:t>Terri Matthews, Director, Town+Gown (</w:t>
      </w:r>
      <w:hyperlink r:id="rId10" w:history="1">
        <w:r w:rsidRPr="00E65A87">
          <w:rPr>
            <w:rStyle w:val="Hyperlink"/>
            <w:rFonts w:asciiTheme="minorHAnsi" w:hAnsiTheme="minorHAnsi"/>
            <w:sz w:val="22"/>
            <w:szCs w:val="22"/>
          </w:rPr>
          <w:t>matthewte@ddc.nyc.gov</w:t>
        </w:r>
      </w:hyperlink>
      <w:r>
        <w:rPr>
          <w:rFonts w:asciiTheme="minorHAnsi" w:hAnsiTheme="minorHAnsi"/>
          <w:sz w:val="22"/>
          <w:szCs w:val="22"/>
        </w:rPr>
        <w:t xml:space="preserve">) or Nicholas Mendoza, DDC’s ACCO </w:t>
      </w:r>
      <w:r w:rsidRPr="009D7FA3">
        <w:rPr>
          <w:rFonts w:asciiTheme="minorHAnsi" w:hAnsiTheme="minorHAnsi"/>
          <w:sz w:val="22"/>
          <w:szCs w:val="22"/>
        </w:rPr>
        <w:t>(</w:t>
      </w:r>
      <w:hyperlink r:id="rId11" w:history="1">
        <w:r w:rsidRPr="009D7FA3">
          <w:rPr>
            <w:rStyle w:val="Hyperlink"/>
            <w:rFonts w:asciiTheme="minorHAnsi" w:hAnsiTheme="minorHAnsi"/>
            <w:sz w:val="22"/>
            <w:szCs w:val="22"/>
          </w:rPr>
          <w:t>MendozaNi@ddc.nyc.gov</w:t>
        </w:r>
      </w:hyperlink>
      <w:r w:rsidRPr="009D7FA3">
        <w:rPr>
          <w:rFonts w:asciiTheme="minorHAnsi" w:hAnsiTheme="minorHAnsi"/>
          <w:sz w:val="22"/>
          <w:szCs w:val="22"/>
        </w:rPr>
        <w:t>).</w:t>
      </w:r>
    </w:p>
    <w:p w:rsidR="003666BB" w:rsidRDefault="003666BB" w:rsidP="00E940B9">
      <w:pPr>
        <w:pStyle w:val="NormalWeb"/>
        <w:spacing w:before="0" w:beforeAutospacing="0" w:after="0" w:afterAutospacing="0" w:line="276" w:lineRule="auto"/>
        <w:rPr>
          <w:rFonts w:asciiTheme="minorHAnsi" w:hAnsiTheme="minorHAnsi"/>
          <w:sz w:val="22"/>
          <w:szCs w:val="22"/>
        </w:rPr>
      </w:pPr>
    </w:p>
    <w:p w:rsidR="003666BB" w:rsidRPr="003666BB" w:rsidRDefault="00CD6E23" w:rsidP="003666BB">
      <w:pPr>
        <w:pStyle w:val="NormalWeb"/>
        <w:spacing w:before="0" w:beforeAutospacing="0" w:after="0" w:afterAutospacing="0" w:line="276" w:lineRule="auto"/>
        <w:rPr>
          <w:rFonts w:asciiTheme="minorHAnsi" w:hAnsiTheme="minorHAnsi"/>
          <w:sz w:val="22"/>
          <w:szCs w:val="22"/>
          <w:u w:val="single"/>
        </w:rPr>
      </w:pPr>
      <w:r>
        <w:rPr>
          <w:rFonts w:asciiTheme="minorHAnsi" w:hAnsiTheme="minorHAnsi"/>
          <w:sz w:val="22"/>
          <w:szCs w:val="22"/>
          <w:u w:val="single"/>
        </w:rPr>
        <w:t xml:space="preserve">And, </w:t>
      </w:r>
      <w:r w:rsidR="0039795A">
        <w:rPr>
          <w:rFonts w:asciiTheme="minorHAnsi" w:hAnsiTheme="minorHAnsi"/>
          <w:sz w:val="22"/>
          <w:szCs w:val="22"/>
          <w:u w:val="single"/>
        </w:rPr>
        <w:t>i</w:t>
      </w:r>
      <w:r w:rsidR="0039795A" w:rsidRPr="003666BB">
        <w:rPr>
          <w:rFonts w:asciiTheme="minorHAnsi" w:hAnsiTheme="minorHAnsi"/>
          <w:sz w:val="22"/>
          <w:szCs w:val="22"/>
          <w:u w:val="single"/>
        </w:rPr>
        <w:t>f</w:t>
      </w:r>
      <w:r w:rsidR="003666BB" w:rsidRPr="003666BB">
        <w:rPr>
          <w:rFonts w:asciiTheme="minorHAnsi" w:hAnsiTheme="minorHAnsi"/>
          <w:sz w:val="22"/>
          <w:szCs w:val="22"/>
          <w:u w:val="single"/>
        </w:rPr>
        <w:t xml:space="preserve"> someone at your agency has mentioned a need for faculty-directed research, please see the </w:t>
      </w:r>
      <w:r w:rsidR="003666BB" w:rsidRPr="003666BB">
        <w:rPr>
          <w:rFonts w:asciiTheme="minorHAnsi" w:hAnsiTheme="minorHAnsi"/>
          <w:i/>
          <w:sz w:val="22"/>
          <w:szCs w:val="22"/>
          <w:u w:val="single"/>
        </w:rPr>
        <w:t xml:space="preserve">Notification of Intent to Use the Master Contract </w:t>
      </w:r>
      <w:r w:rsidR="003666BB" w:rsidRPr="003666BB">
        <w:rPr>
          <w:rFonts w:asciiTheme="minorHAnsi" w:hAnsiTheme="minorHAnsi"/>
          <w:sz w:val="22"/>
          <w:szCs w:val="22"/>
          <w:u w:val="single"/>
        </w:rPr>
        <w:t xml:space="preserve">form in Appendix A to this document—it is important to send it to </w:t>
      </w:r>
      <w:r>
        <w:rPr>
          <w:rFonts w:asciiTheme="minorHAnsi" w:hAnsiTheme="minorHAnsi"/>
          <w:sz w:val="22"/>
          <w:szCs w:val="22"/>
          <w:u w:val="single"/>
        </w:rPr>
        <w:t>Town+Gown/</w:t>
      </w:r>
      <w:r w:rsidR="003666BB" w:rsidRPr="003666BB">
        <w:rPr>
          <w:rFonts w:asciiTheme="minorHAnsi" w:hAnsiTheme="minorHAnsi"/>
          <w:sz w:val="22"/>
          <w:szCs w:val="22"/>
          <w:u w:val="single"/>
        </w:rPr>
        <w:t>DDC as soon as your agency intends to access the Master Contract.</w:t>
      </w:r>
    </w:p>
    <w:p w:rsidR="003666BB" w:rsidRPr="00445D42" w:rsidRDefault="003666BB" w:rsidP="00E940B9">
      <w:pPr>
        <w:pStyle w:val="NormalWeb"/>
        <w:spacing w:before="0" w:beforeAutospacing="0" w:after="0" w:afterAutospacing="0" w:line="276" w:lineRule="auto"/>
        <w:rPr>
          <w:rFonts w:asciiTheme="minorHAnsi" w:hAnsiTheme="minorHAnsi"/>
          <w:sz w:val="22"/>
          <w:szCs w:val="22"/>
        </w:rPr>
      </w:pPr>
    </w:p>
    <w:p w:rsidR="008C715C" w:rsidRDefault="00AF40CB" w:rsidP="008C715C">
      <w:r w:rsidRPr="00AF40CB">
        <w:rPr>
          <w:b/>
          <w:i/>
        </w:rPr>
        <w:t xml:space="preserve">A little about </w:t>
      </w:r>
      <w:r w:rsidR="00A73E72">
        <w:rPr>
          <w:b/>
          <w:i/>
        </w:rPr>
        <w:t>Town+Gown</w:t>
      </w:r>
      <w:r w:rsidRPr="00AF40CB">
        <w:rPr>
          <w:b/>
          <w:i/>
        </w:rPr>
        <w:t>.</w:t>
      </w:r>
      <w:r>
        <w:rPr>
          <w:b/>
        </w:rPr>
        <w:t xml:space="preserve">  </w:t>
      </w:r>
      <w:r w:rsidR="008C715C" w:rsidRPr="00590F44">
        <w:t>Town+Gown</w:t>
      </w:r>
      <w:r w:rsidR="008C715C">
        <w:t xml:space="preserve"> is a </w:t>
      </w:r>
      <w:r w:rsidR="00AC133B">
        <w:t xml:space="preserve">city-wide </w:t>
      </w:r>
      <w:r w:rsidR="008C715C">
        <w:t>university-community collaboration program</w:t>
      </w:r>
      <w:r w:rsidR="00AC133B">
        <w:t xml:space="preserve"> at DDC</w:t>
      </w:r>
      <w:r w:rsidR="008C715C">
        <w:t xml:space="preserve"> that brings a</w:t>
      </w:r>
      <w:r w:rsidR="008C715C" w:rsidRPr="00590F44">
        <w:t xml:space="preserve">cademics and </w:t>
      </w:r>
      <w:r w:rsidR="008C715C">
        <w:t>p</w:t>
      </w:r>
      <w:r w:rsidR="008C715C" w:rsidRPr="00590F44">
        <w:t>ractitioners together to create knowledge in the built environment.</w:t>
      </w:r>
      <w:r w:rsidR="008C715C">
        <w:t xml:space="preserve">  Town+Gown’s </w:t>
      </w:r>
      <w:r w:rsidR="008C715C" w:rsidRPr="00DD1FDC">
        <w:rPr>
          <w:b/>
        </w:rPr>
        <w:t>Action Research</w:t>
      </w:r>
      <w:r w:rsidR="008C715C">
        <w:t xml:space="preserve"> component consists of </w:t>
      </w:r>
      <w:r w:rsidR="00544FEB">
        <w:t>a</w:t>
      </w:r>
      <w:r w:rsidR="008C715C">
        <w:t xml:space="preserve"> </w:t>
      </w:r>
      <w:r w:rsidR="008C715C" w:rsidRPr="00CD6E23">
        <w:rPr>
          <w:b/>
        </w:rPr>
        <w:t>Service</w:t>
      </w:r>
      <w:r w:rsidR="00544FEB" w:rsidRPr="00CD6E23">
        <w:rPr>
          <w:b/>
        </w:rPr>
        <w:t xml:space="preserve"> (Experiential)</w:t>
      </w:r>
      <w:r w:rsidR="008C715C" w:rsidRPr="00CD6E23">
        <w:rPr>
          <w:b/>
        </w:rPr>
        <w:t xml:space="preserve"> Learning</w:t>
      </w:r>
      <w:r w:rsidR="008C715C">
        <w:t xml:space="preserve"> model of university-community collaboration, and a </w:t>
      </w:r>
      <w:r w:rsidR="008C715C" w:rsidRPr="00CD6E23">
        <w:rPr>
          <w:b/>
        </w:rPr>
        <w:t>Faculty-Directed Research</w:t>
      </w:r>
      <w:r w:rsidR="00544FEB">
        <w:rPr>
          <w:i/>
        </w:rPr>
        <w:t xml:space="preserve"> </w:t>
      </w:r>
      <w:r w:rsidR="00544FEB" w:rsidRPr="00544FEB">
        <w:t>model of university-community collaboration</w:t>
      </w:r>
      <w:r w:rsidR="00544FEB">
        <w:t>.</w:t>
      </w:r>
    </w:p>
    <w:p w:rsidR="00E940B9" w:rsidRDefault="00AF40CB" w:rsidP="00AF40CB">
      <w:pPr>
        <w:pStyle w:val="NormalWeb"/>
        <w:spacing w:before="0" w:beforeAutospacing="0" w:after="0" w:afterAutospacing="0" w:line="276" w:lineRule="auto"/>
        <w:rPr>
          <w:rFonts w:asciiTheme="minorHAnsi" w:hAnsiTheme="minorHAnsi"/>
          <w:sz w:val="22"/>
          <w:szCs w:val="22"/>
        </w:rPr>
      </w:pPr>
      <w:r>
        <w:rPr>
          <w:rFonts w:asciiTheme="minorHAnsi" w:hAnsiTheme="minorHAnsi"/>
          <w:sz w:val="22"/>
          <w:szCs w:val="22"/>
        </w:rPr>
        <w:t>To learn more</w:t>
      </w:r>
      <w:r w:rsidR="00544FEB">
        <w:rPr>
          <w:rFonts w:asciiTheme="minorHAnsi" w:hAnsiTheme="minorHAnsi"/>
          <w:sz w:val="22"/>
          <w:szCs w:val="22"/>
        </w:rPr>
        <w:t xml:space="preserve"> </w:t>
      </w:r>
      <w:r>
        <w:rPr>
          <w:rFonts w:asciiTheme="minorHAnsi" w:hAnsiTheme="minorHAnsi"/>
          <w:sz w:val="22"/>
          <w:szCs w:val="22"/>
        </w:rPr>
        <w:t xml:space="preserve">about </w:t>
      </w:r>
      <w:r w:rsidR="00A73E72">
        <w:rPr>
          <w:rFonts w:asciiTheme="minorHAnsi" w:hAnsiTheme="minorHAnsi"/>
          <w:sz w:val="22"/>
          <w:szCs w:val="22"/>
        </w:rPr>
        <w:t>Town+Gown</w:t>
      </w:r>
      <w:r>
        <w:rPr>
          <w:rFonts w:asciiTheme="minorHAnsi" w:hAnsiTheme="minorHAnsi"/>
          <w:sz w:val="22"/>
          <w:szCs w:val="22"/>
        </w:rPr>
        <w:t xml:space="preserve">, please go to our website at: </w:t>
      </w:r>
      <w:hyperlink r:id="rId12" w:history="1">
        <w:r w:rsidRPr="00542467">
          <w:rPr>
            <w:rStyle w:val="Hyperlink"/>
            <w:rFonts w:asciiTheme="minorHAnsi" w:hAnsiTheme="minorHAnsi"/>
            <w:sz w:val="22"/>
            <w:szCs w:val="22"/>
          </w:rPr>
          <w:t>http://www1.nyc.gov/site/ddc/about/town-gown.page</w:t>
        </w:r>
      </w:hyperlink>
      <w:r>
        <w:rPr>
          <w:rFonts w:asciiTheme="minorHAnsi" w:hAnsiTheme="minorHAnsi"/>
          <w:sz w:val="22"/>
          <w:szCs w:val="22"/>
        </w:rPr>
        <w:t>.</w:t>
      </w:r>
    </w:p>
    <w:p w:rsidR="00AF40CB" w:rsidRDefault="00AF40CB" w:rsidP="00AF40CB">
      <w:pPr>
        <w:pStyle w:val="NormalWeb"/>
        <w:spacing w:before="0" w:beforeAutospacing="0" w:after="0" w:afterAutospacing="0" w:line="276" w:lineRule="auto"/>
        <w:rPr>
          <w:rFonts w:asciiTheme="minorHAnsi" w:hAnsiTheme="minorHAnsi"/>
          <w:sz w:val="22"/>
          <w:szCs w:val="22"/>
        </w:rPr>
      </w:pPr>
    </w:p>
    <w:p w:rsidR="00152E5C" w:rsidRDefault="00152E5C" w:rsidP="00AF40CB">
      <w:pPr>
        <w:pStyle w:val="NormalWeb"/>
        <w:spacing w:before="0" w:beforeAutospacing="0" w:after="0" w:afterAutospacing="0" w:line="276" w:lineRule="auto"/>
        <w:rPr>
          <w:rFonts w:asciiTheme="minorHAnsi" w:hAnsiTheme="minorHAnsi"/>
          <w:sz w:val="22"/>
          <w:szCs w:val="22"/>
        </w:rPr>
      </w:pPr>
      <w:r w:rsidRPr="00645485">
        <w:rPr>
          <w:noProof/>
        </w:rPr>
        <w:lastRenderedPageBreak/>
        <w:drawing>
          <wp:anchor distT="0" distB="0" distL="114300" distR="114300" simplePos="0" relativeHeight="251661312" behindDoc="0" locked="0" layoutInCell="1" allowOverlap="1" wp14:anchorId="588B6855" wp14:editId="772E6143">
            <wp:simplePos x="0" y="0"/>
            <wp:positionH relativeFrom="column">
              <wp:posOffset>3171190</wp:posOffset>
            </wp:positionH>
            <wp:positionV relativeFrom="paragraph">
              <wp:posOffset>10795</wp:posOffset>
            </wp:positionV>
            <wp:extent cx="2943225" cy="2409825"/>
            <wp:effectExtent l="0" t="0" r="9525" b="9525"/>
            <wp:wrapTight wrapText="bothSides">
              <wp:wrapPolygon edited="0">
                <wp:start x="0" y="0"/>
                <wp:lineTo x="0" y="21515"/>
                <wp:lineTo x="21530" y="21515"/>
                <wp:lineTo x="21530" y="0"/>
                <wp:lineTo x="0" y="0"/>
              </wp:wrapPolygon>
            </wp:wrapTight>
            <wp:docPr id="7" name="Content Placeholder 3" descr="ArrowsGears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Content Placeholder 3" descr="ArrowsGears2.png"/>
                    <pic:cNvPicPr>
                      <a:picLocks/>
                    </pic:cNvPicPr>
                  </pic:nvPicPr>
                  <pic:blipFill rotWithShape="1">
                    <a:blip r:embed="rId13" cstate="print">
                      <a:extLst>
                        <a:ext uri="{28A0092B-C50C-407E-A947-70E740481C1C}">
                          <a14:useLocalDpi xmlns:a14="http://schemas.microsoft.com/office/drawing/2010/main" val="0"/>
                        </a:ext>
                      </a:extLst>
                    </a:blip>
                    <a:srcRect l="11321" t="8907"/>
                    <a:stretch/>
                  </pic:blipFill>
                  <pic:spPr>
                    <a:xfrm>
                      <a:off x="0" y="0"/>
                      <a:ext cx="2943225" cy="2409825"/>
                    </a:xfrm>
                    <a:prstGeom prst="rect">
                      <a:avLst/>
                    </a:prstGeom>
                  </pic:spPr>
                </pic:pic>
              </a:graphicData>
            </a:graphic>
            <wp14:sizeRelH relativeFrom="page">
              <wp14:pctWidth>0</wp14:pctWidth>
            </wp14:sizeRelH>
            <wp14:sizeRelV relativeFrom="page">
              <wp14:pctHeight>0</wp14:pctHeight>
            </wp14:sizeRelV>
          </wp:anchor>
        </w:drawing>
      </w:r>
    </w:p>
    <w:p w:rsidR="00152E5C" w:rsidRPr="00E940B9" w:rsidRDefault="00152E5C" w:rsidP="00AF40CB">
      <w:pPr>
        <w:pStyle w:val="NormalWeb"/>
        <w:spacing w:before="0" w:beforeAutospacing="0" w:after="0" w:afterAutospacing="0" w:line="276" w:lineRule="auto"/>
        <w:rPr>
          <w:rFonts w:asciiTheme="minorHAnsi" w:hAnsiTheme="minorHAnsi"/>
          <w:sz w:val="22"/>
          <w:szCs w:val="22"/>
        </w:rPr>
      </w:pPr>
    </w:p>
    <w:bookmarkStart w:id="2" w:name="funded"/>
    <w:p w:rsidR="00152E5C" w:rsidRDefault="00152E5C" w:rsidP="00AF40CB">
      <w:pPr>
        <w:spacing w:after="0" w:line="276" w:lineRule="auto"/>
        <w:jc w:val="both"/>
        <w:rPr>
          <w:rFonts w:eastAsia="Times New Roman" w:cs="Times New Roman"/>
          <w:b/>
          <w:bCs/>
          <w:i/>
        </w:rPr>
      </w:pPr>
      <w:r>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228B4751" wp14:editId="543BBA67">
                <wp:simplePos x="0" y="0"/>
                <wp:positionH relativeFrom="margin">
                  <wp:align>left</wp:align>
                </wp:positionH>
                <wp:positionV relativeFrom="paragraph">
                  <wp:posOffset>302895</wp:posOffset>
                </wp:positionV>
                <wp:extent cx="2324100" cy="612140"/>
                <wp:effectExtent l="0" t="0" r="19050" b="16510"/>
                <wp:wrapTopAndBottom/>
                <wp:docPr id="2" name="Text Box 2"/>
                <wp:cNvGraphicFramePr/>
                <a:graphic xmlns:a="http://schemas.openxmlformats.org/drawingml/2006/main">
                  <a:graphicData uri="http://schemas.microsoft.com/office/word/2010/wordprocessingShape">
                    <wps:wsp>
                      <wps:cNvSpPr txBox="1"/>
                      <wps:spPr>
                        <a:xfrm>
                          <a:off x="0" y="0"/>
                          <a:ext cx="2324100" cy="612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AB2" w:rsidRPr="001631AD" w:rsidRDefault="00447AB2" w:rsidP="00152E5C">
                            <w:pPr>
                              <w:spacing w:after="0" w:line="240" w:lineRule="auto"/>
                            </w:pPr>
                            <w:r w:rsidRPr="001631AD">
                              <w:rPr>
                                <w:b/>
                              </w:rPr>
                              <w:t>Bringing Academics and</w:t>
                            </w:r>
                            <w:r>
                              <w:rPr>
                                <w:b/>
                              </w:rPr>
                              <w:t xml:space="preserve"> </w:t>
                            </w:r>
                            <w:r w:rsidRPr="001631AD">
                              <w:rPr>
                                <w:b/>
                              </w:rPr>
                              <w:t>Practitioners Together to Create Knowledge in the Built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B4751" id="_x0000_t202" coordsize="21600,21600" o:spt="202" path="m,l,21600r21600,l21600,xe">
                <v:stroke joinstyle="miter"/>
                <v:path gradientshapeok="t" o:connecttype="rect"/>
              </v:shapetype>
              <v:shape id="Text Box 2" o:spid="_x0000_s1026" type="#_x0000_t202" style="position:absolute;left:0;text-align:left;margin-left:0;margin-top:23.85pt;width:183pt;height: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" fillcolor="white [3201]" strokeweight=".5pt">
                <v:textbox>
                  <w:txbxContent>
                    <w:p w:rsidR="00447AB2" w:rsidRPr="001631AD" w:rsidRDefault="00447AB2" w:rsidP="00152E5C">
                      <w:pPr>
                        <w:spacing w:after="0" w:line="240" w:lineRule="auto"/>
                      </w:pPr>
                      <w:r w:rsidRPr="001631AD">
                        <w:rPr>
                          <w:b/>
                        </w:rPr>
                        <w:t>Bringing Academics and</w:t>
                      </w:r>
                      <w:r>
                        <w:rPr>
                          <w:b/>
                        </w:rPr>
                        <w:t xml:space="preserve"> </w:t>
                      </w:r>
                      <w:r w:rsidRPr="001631AD">
                        <w:rPr>
                          <w:b/>
                        </w:rPr>
                        <w:t>Practitioners Together to Create Knowledge in the Built Environment</w:t>
                      </w:r>
                    </w:p>
                  </w:txbxContent>
                </v:textbox>
                <w10:wrap type="topAndBottom" anchorx="margin"/>
              </v:shape>
            </w:pict>
          </mc:Fallback>
        </mc:AlternateContent>
      </w:r>
    </w:p>
    <w:p w:rsidR="00152E5C" w:rsidRDefault="00152E5C" w:rsidP="00AF40CB">
      <w:pPr>
        <w:spacing w:after="0" w:line="276" w:lineRule="auto"/>
        <w:jc w:val="both"/>
        <w:rPr>
          <w:rFonts w:eastAsia="Times New Roman" w:cs="Times New Roman"/>
          <w:b/>
          <w:bCs/>
          <w:i/>
        </w:rPr>
      </w:pPr>
    </w:p>
    <w:p w:rsidR="00152E5C" w:rsidRDefault="00152E5C" w:rsidP="00AF40CB">
      <w:pPr>
        <w:spacing w:after="0" w:line="276" w:lineRule="auto"/>
        <w:jc w:val="both"/>
        <w:rPr>
          <w:rFonts w:eastAsia="Times New Roman" w:cs="Times New Roman"/>
          <w:b/>
          <w:bCs/>
          <w:i/>
        </w:rPr>
      </w:pPr>
    </w:p>
    <w:p w:rsidR="00152E5C" w:rsidRDefault="00152E5C" w:rsidP="00AF40CB">
      <w:pPr>
        <w:spacing w:after="0" w:line="276" w:lineRule="auto"/>
        <w:jc w:val="both"/>
        <w:rPr>
          <w:rFonts w:eastAsia="Times New Roman" w:cs="Times New Roman"/>
          <w:b/>
          <w:bCs/>
          <w:i/>
        </w:rPr>
      </w:pPr>
    </w:p>
    <w:p w:rsidR="00152E5C" w:rsidRDefault="00152E5C" w:rsidP="00AF40CB">
      <w:pPr>
        <w:spacing w:after="0" w:line="276" w:lineRule="auto"/>
        <w:jc w:val="both"/>
        <w:rPr>
          <w:rFonts w:eastAsia="Times New Roman" w:cs="Times New Roman"/>
          <w:b/>
          <w:bCs/>
          <w:i/>
        </w:rPr>
      </w:pPr>
    </w:p>
    <w:p w:rsidR="0089516F" w:rsidRDefault="0089516F" w:rsidP="00AF40CB">
      <w:pPr>
        <w:spacing w:after="0" w:line="276" w:lineRule="auto"/>
        <w:jc w:val="both"/>
        <w:rPr>
          <w:rFonts w:eastAsia="Times New Roman" w:cs="Times New Roman"/>
          <w:b/>
          <w:bCs/>
          <w:i/>
        </w:rPr>
      </w:pPr>
    </w:p>
    <w:p w:rsidR="00534C59" w:rsidRDefault="00534C59" w:rsidP="00840A8A">
      <w:pPr>
        <w:spacing w:after="0" w:line="276" w:lineRule="auto"/>
        <w:jc w:val="both"/>
        <w:rPr>
          <w:rFonts w:eastAsia="Times New Roman" w:cs="Times New Roman"/>
          <w:b/>
          <w:bCs/>
          <w:i/>
        </w:rPr>
      </w:pPr>
    </w:p>
    <w:p w:rsidR="00534C59" w:rsidRDefault="00534C59" w:rsidP="00840A8A">
      <w:pPr>
        <w:spacing w:after="0" w:line="276" w:lineRule="auto"/>
        <w:jc w:val="both"/>
        <w:rPr>
          <w:rFonts w:eastAsia="Times New Roman" w:cs="Times New Roman"/>
          <w:b/>
          <w:bCs/>
          <w:i/>
        </w:rPr>
      </w:pPr>
    </w:p>
    <w:p w:rsidR="00FE2E64" w:rsidRDefault="00E940B9" w:rsidP="00840A8A">
      <w:pPr>
        <w:spacing w:after="0" w:line="276" w:lineRule="auto"/>
        <w:jc w:val="both"/>
      </w:pPr>
      <w:r w:rsidRPr="00E940B9">
        <w:rPr>
          <w:rFonts w:eastAsia="Times New Roman" w:cs="Times New Roman"/>
          <w:b/>
          <w:bCs/>
          <w:i/>
        </w:rPr>
        <w:t>F</w:t>
      </w:r>
      <w:r w:rsidR="007C7CE1">
        <w:rPr>
          <w:rFonts w:eastAsia="Times New Roman" w:cs="Times New Roman"/>
          <w:b/>
          <w:bCs/>
          <w:i/>
        </w:rPr>
        <w:t xml:space="preserve">aculty-directed Research </w:t>
      </w:r>
      <w:r w:rsidR="00544FEB">
        <w:rPr>
          <w:rFonts w:eastAsia="Times New Roman" w:cs="Times New Roman"/>
          <w:b/>
          <w:bCs/>
          <w:i/>
        </w:rPr>
        <w:t xml:space="preserve">Model </w:t>
      </w:r>
      <w:r w:rsidR="007C7CE1">
        <w:rPr>
          <w:rFonts w:eastAsia="Times New Roman" w:cs="Times New Roman"/>
          <w:b/>
          <w:bCs/>
          <w:i/>
        </w:rPr>
        <w:t xml:space="preserve">of Action Research </w:t>
      </w:r>
      <w:r w:rsidR="00152E5C">
        <w:rPr>
          <w:rFonts w:eastAsia="Times New Roman" w:cs="Times New Roman"/>
          <w:b/>
          <w:bCs/>
          <w:i/>
        </w:rPr>
        <w:t xml:space="preserve">and the Master </w:t>
      </w:r>
      <w:r w:rsidR="00AF40CB">
        <w:rPr>
          <w:rFonts w:eastAsia="Times New Roman" w:cs="Times New Roman"/>
          <w:b/>
          <w:bCs/>
          <w:i/>
        </w:rPr>
        <w:t>Contract.</w:t>
      </w:r>
      <w:r w:rsidR="00AF40CB">
        <w:rPr>
          <w:rFonts w:eastAsia="Times New Roman" w:cs="Times New Roman"/>
          <w:bCs/>
        </w:rPr>
        <w:t xml:space="preserve">  </w:t>
      </w:r>
      <w:bookmarkEnd w:id="2"/>
      <w:r w:rsidR="00AF40CB">
        <w:rPr>
          <w:rFonts w:eastAsia="Times New Roman" w:cs="Times New Roman"/>
          <w:bCs/>
        </w:rPr>
        <w:t xml:space="preserve">Once </w:t>
      </w:r>
      <w:r w:rsidR="00A73E72">
        <w:rPr>
          <w:rFonts w:eastAsia="Times New Roman" w:cs="Times New Roman"/>
        </w:rPr>
        <w:t>Town+Gown</w:t>
      </w:r>
      <w:r w:rsidR="00AF40CB">
        <w:rPr>
          <w:rFonts w:eastAsia="Times New Roman" w:cs="Times New Roman"/>
        </w:rPr>
        <w:t xml:space="preserve"> got underway</w:t>
      </w:r>
      <w:r w:rsidR="00840A8A">
        <w:rPr>
          <w:rFonts w:eastAsia="Times New Roman" w:cs="Times New Roman"/>
        </w:rPr>
        <w:t xml:space="preserve"> with its </w:t>
      </w:r>
      <w:r w:rsidR="002B6320">
        <w:rPr>
          <w:rFonts w:eastAsia="Times New Roman" w:cs="Times New Roman"/>
          <w:b/>
        </w:rPr>
        <w:t>Service (</w:t>
      </w:r>
      <w:r w:rsidR="00840A8A" w:rsidRPr="00840A8A">
        <w:rPr>
          <w:rFonts w:eastAsia="Times New Roman" w:cs="Times New Roman"/>
          <w:b/>
        </w:rPr>
        <w:t>Experiential</w:t>
      </w:r>
      <w:r w:rsidR="002B6320">
        <w:rPr>
          <w:rFonts w:eastAsia="Times New Roman" w:cs="Times New Roman"/>
          <w:b/>
        </w:rPr>
        <w:t>)</w:t>
      </w:r>
      <w:r w:rsidR="00840A8A" w:rsidRPr="00840A8A">
        <w:rPr>
          <w:rFonts w:eastAsia="Times New Roman" w:cs="Times New Roman"/>
          <w:b/>
        </w:rPr>
        <w:t xml:space="preserve"> Learning</w:t>
      </w:r>
      <w:r w:rsidR="00840A8A">
        <w:rPr>
          <w:rFonts w:eastAsia="Times New Roman" w:cs="Times New Roman"/>
        </w:rPr>
        <w:t xml:space="preserve"> </w:t>
      </w:r>
      <w:r w:rsidR="00544FEB">
        <w:rPr>
          <w:rFonts w:eastAsia="Times New Roman" w:cs="Times New Roman"/>
        </w:rPr>
        <w:t xml:space="preserve">model </w:t>
      </w:r>
      <w:r w:rsidR="002B6320">
        <w:rPr>
          <w:rFonts w:eastAsia="Times New Roman" w:cs="Times New Roman"/>
        </w:rPr>
        <w:t xml:space="preserve">of </w:t>
      </w:r>
      <w:r w:rsidR="002B6320" w:rsidRPr="002B6320">
        <w:rPr>
          <w:rFonts w:eastAsia="Times New Roman" w:cs="Times New Roman"/>
          <w:b/>
        </w:rPr>
        <w:t>Action Research</w:t>
      </w:r>
      <w:r w:rsidR="00AF40CB">
        <w:rPr>
          <w:rFonts w:eastAsia="Times New Roman" w:cs="Times New Roman"/>
        </w:rPr>
        <w:t>,</w:t>
      </w:r>
      <w:r w:rsidRPr="00E940B9">
        <w:rPr>
          <w:rFonts w:eastAsia="Times New Roman" w:cs="Times New Roman"/>
        </w:rPr>
        <w:t xml:space="preserve"> it became clear that </w:t>
      </w:r>
      <w:r w:rsidR="00840A8A">
        <w:rPr>
          <w:rFonts w:eastAsia="Times New Roman" w:cs="Times New Roman"/>
        </w:rPr>
        <w:t xml:space="preserve">we needed a </w:t>
      </w:r>
      <w:r w:rsidR="00840A8A" w:rsidRPr="00840A8A">
        <w:rPr>
          <w:rFonts w:eastAsia="Times New Roman" w:cs="Times New Roman"/>
          <w:b/>
        </w:rPr>
        <w:t>F</w:t>
      </w:r>
      <w:r w:rsidR="002B6320">
        <w:rPr>
          <w:rFonts w:eastAsia="Times New Roman" w:cs="Times New Roman"/>
          <w:b/>
        </w:rPr>
        <w:t xml:space="preserve">aculty-directed </w:t>
      </w:r>
      <w:r w:rsidR="00840A8A" w:rsidRPr="00840A8A">
        <w:rPr>
          <w:rFonts w:eastAsia="Times New Roman" w:cs="Times New Roman"/>
          <w:b/>
        </w:rPr>
        <w:t>Research</w:t>
      </w:r>
      <w:r w:rsidR="00840A8A">
        <w:rPr>
          <w:rFonts w:eastAsia="Times New Roman" w:cs="Times New Roman"/>
        </w:rPr>
        <w:t xml:space="preserve"> </w:t>
      </w:r>
      <w:r w:rsidR="00544FEB">
        <w:rPr>
          <w:rFonts w:eastAsia="Times New Roman" w:cs="Times New Roman"/>
        </w:rPr>
        <w:t>model</w:t>
      </w:r>
      <w:r w:rsidR="00840A8A">
        <w:rPr>
          <w:rFonts w:eastAsia="Times New Roman" w:cs="Times New Roman"/>
        </w:rPr>
        <w:t xml:space="preserve"> that </w:t>
      </w:r>
      <w:r w:rsidR="00544FEB">
        <w:rPr>
          <w:rFonts w:eastAsia="Times New Roman" w:cs="Times New Roman"/>
        </w:rPr>
        <w:t xml:space="preserve">would </w:t>
      </w:r>
      <w:r w:rsidR="00CD6E23">
        <w:rPr>
          <w:rFonts w:eastAsia="Times New Roman" w:cs="Times New Roman"/>
        </w:rPr>
        <w:t xml:space="preserve">include </w:t>
      </w:r>
      <w:r w:rsidR="00544FEB">
        <w:rPr>
          <w:rFonts w:eastAsia="Times New Roman" w:cs="Times New Roman"/>
        </w:rPr>
        <w:t xml:space="preserve">an </w:t>
      </w:r>
      <w:r w:rsidR="00AF40CB">
        <w:rPr>
          <w:rFonts w:eastAsia="Times New Roman" w:cs="Times New Roman"/>
        </w:rPr>
        <w:t xml:space="preserve">easy-to-use and quick </w:t>
      </w:r>
      <w:r w:rsidR="00CD6E23">
        <w:rPr>
          <w:rFonts w:eastAsia="Times New Roman" w:cs="Times New Roman"/>
        </w:rPr>
        <w:t xml:space="preserve">procurement </w:t>
      </w:r>
      <w:r w:rsidRPr="00E940B9">
        <w:rPr>
          <w:rFonts w:eastAsia="Times New Roman" w:cs="Times New Roman"/>
        </w:rPr>
        <w:t xml:space="preserve">vehicle </w:t>
      </w:r>
      <w:r w:rsidR="00544FEB">
        <w:rPr>
          <w:rFonts w:eastAsia="Times New Roman" w:cs="Times New Roman"/>
        </w:rPr>
        <w:t xml:space="preserve">for agencies </w:t>
      </w:r>
      <w:r w:rsidR="00AF40CB">
        <w:rPr>
          <w:rFonts w:eastAsia="Times New Roman" w:cs="Times New Roman"/>
        </w:rPr>
        <w:t xml:space="preserve">to procure </w:t>
      </w:r>
      <w:r w:rsidR="002B6320">
        <w:rPr>
          <w:rFonts w:eastAsia="Times New Roman" w:cs="Times New Roman"/>
        </w:rPr>
        <w:t>faculty-directed</w:t>
      </w:r>
      <w:r w:rsidRPr="00E940B9">
        <w:rPr>
          <w:rFonts w:eastAsia="Times New Roman" w:cs="Times New Roman"/>
        </w:rPr>
        <w:t xml:space="preserve"> </w:t>
      </w:r>
      <w:r w:rsidR="00AF40CB">
        <w:rPr>
          <w:rFonts w:eastAsia="Times New Roman" w:cs="Times New Roman"/>
        </w:rPr>
        <w:t xml:space="preserve">applied academic </w:t>
      </w:r>
      <w:r w:rsidRPr="00E940B9">
        <w:rPr>
          <w:rFonts w:eastAsia="Times New Roman" w:cs="Times New Roman"/>
        </w:rPr>
        <w:t>research</w:t>
      </w:r>
      <w:r w:rsidR="00AF40CB">
        <w:rPr>
          <w:rFonts w:eastAsia="Times New Roman" w:cs="Times New Roman"/>
        </w:rPr>
        <w:t xml:space="preserve">.  </w:t>
      </w:r>
      <w:r w:rsidR="00FE2E64">
        <w:rPr>
          <w:rFonts w:eastAsia="Times New Roman" w:cs="Times New Roman"/>
        </w:rPr>
        <w:t xml:space="preserve"> </w:t>
      </w:r>
      <w:r w:rsidR="00CD6E23">
        <w:rPr>
          <w:rFonts w:eastAsia="Times New Roman" w:cs="Times New Roman"/>
        </w:rPr>
        <w:t>Town+Gown/</w:t>
      </w:r>
      <w:r w:rsidR="00AC133B">
        <w:rPr>
          <w:rFonts w:eastAsia="Times New Roman" w:cs="Times New Roman"/>
        </w:rPr>
        <w:t>DDC</w:t>
      </w:r>
      <w:r w:rsidR="00FE2E64" w:rsidRPr="00E940B9">
        <w:rPr>
          <w:rFonts w:eastAsia="Times New Roman" w:cs="Times New Roman"/>
        </w:rPr>
        <w:t xml:space="preserve"> used the P</w:t>
      </w:r>
      <w:r w:rsidR="00D83F44">
        <w:rPr>
          <w:rFonts w:eastAsia="Times New Roman" w:cs="Times New Roman"/>
        </w:rPr>
        <w:t xml:space="preserve">rocurement </w:t>
      </w:r>
      <w:r w:rsidR="00FE2E64" w:rsidRPr="00E940B9">
        <w:rPr>
          <w:rFonts w:eastAsia="Times New Roman" w:cs="Times New Roman"/>
        </w:rPr>
        <w:t>P</w:t>
      </w:r>
      <w:r w:rsidR="00D83F44">
        <w:rPr>
          <w:rFonts w:eastAsia="Times New Roman" w:cs="Times New Roman"/>
        </w:rPr>
        <w:t xml:space="preserve">olicy </w:t>
      </w:r>
      <w:r w:rsidR="00FE2E64" w:rsidRPr="00E940B9">
        <w:rPr>
          <w:rFonts w:eastAsia="Times New Roman" w:cs="Times New Roman"/>
        </w:rPr>
        <w:t>B</w:t>
      </w:r>
      <w:r w:rsidR="00D83F44">
        <w:rPr>
          <w:rFonts w:eastAsia="Times New Roman" w:cs="Times New Roman"/>
        </w:rPr>
        <w:t>oard (</w:t>
      </w:r>
      <w:r w:rsidR="00D83F44" w:rsidRPr="00D83F44">
        <w:rPr>
          <w:rFonts w:eastAsia="Times New Roman" w:cs="Times New Roman"/>
          <w:b/>
        </w:rPr>
        <w:t>PPB</w:t>
      </w:r>
      <w:r w:rsidR="00D83F44">
        <w:rPr>
          <w:rFonts w:eastAsia="Times New Roman" w:cs="Times New Roman"/>
          <w:b/>
        </w:rPr>
        <w:t>)</w:t>
      </w:r>
      <w:r w:rsidR="00FE2E64" w:rsidRPr="00E940B9">
        <w:rPr>
          <w:rFonts w:eastAsia="Times New Roman" w:cs="Times New Roman"/>
        </w:rPr>
        <w:t xml:space="preserve"> </w:t>
      </w:r>
      <w:r w:rsidR="00D83F44">
        <w:rPr>
          <w:rFonts w:eastAsia="Times New Roman" w:cs="Times New Roman"/>
        </w:rPr>
        <w:t>r</w:t>
      </w:r>
      <w:r w:rsidR="00FE2E64" w:rsidRPr="00E940B9">
        <w:rPr>
          <w:rFonts w:eastAsia="Times New Roman" w:cs="Times New Roman"/>
        </w:rPr>
        <w:t xml:space="preserve">ules Section 3-12 </w:t>
      </w:r>
      <w:r w:rsidR="00FE2E64" w:rsidRPr="00E940B9">
        <w:rPr>
          <w:rFonts w:eastAsia="Times New Roman" w:cs="Times New Roman"/>
          <w:b/>
          <w:i/>
        </w:rPr>
        <w:t>“innovative procurement”</w:t>
      </w:r>
      <w:r w:rsidR="00FE2E64" w:rsidRPr="00E940B9">
        <w:rPr>
          <w:rFonts w:eastAsia="Times New Roman" w:cs="Times New Roman"/>
        </w:rPr>
        <w:t xml:space="preserve"> </w:t>
      </w:r>
      <w:r w:rsidR="00FE2E64">
        <w:rPr>
          <w:rFonts w:eastAsia="Times New Roman" w:cs="Times New Roman"/>
        </w:rPr>
        <w:t>method</w:t>
      </w:r>
      <w:r w:rsidR="00FE2E64" w:rsidRPr="00E940B9">
        <w:rPr>
          <w:rFonts w:eastAsia="Times New Roman" w:cs="Times New Roman"/>
        </w:rPr>
        <w:t xml:space="preserve"> to create</w:t>
      </w:r>
      <w:r w:rsidR="00CD6E23">
        <w:rPr>
          <w:rFonts w:eastAsia="Times New Roman" w:cs="Times New Roman"/>
        </w:rPr>
        <w:t xml:space="preserve"> the Master Contract,</w:t>
      </w:r>
      <w:r w:rsidR="00FE2E64" w:rsidRPr="00E940B9">
        <w:rPr>
          <w:rFonts w:eastAsia="Times New Roman" w:cs="Times New Roman"/>
        </w:rPr>
        <w:t xml:space="preserve"> </w:t>
      </w:r>
      <w:r w:rsidR="00CD6E23">
        <w:rPr>
          <w:rFonts w:eastAsia="Times New Roman" w:cs="Times New Roman"/>
        </w:rPr>
        <w:t xml:space="preserve">which is </w:t>
      </w:r>
      <w:r w:rsidR="00FE2E64" w:rsidRPr="00E940B9">
        <w:rPr>
          <w:rFonts w:eastAsia="Times New Roman" w:cs="Times New Roman"/>
        </w:rPr>
        <w:t xml:space="preserve">a </w:t>
      </w:r>
      <w:r w:rsidR="00544FEB">
        <w:rPr>
          <w:rFonts w:eastAsia="Times New Roman" w:cs="Times New Roman"/>
        </w:rPr>
        <w:t xml:space="preserve">city-wide </w:t>
      </w:r>
      <w:r w:rsidR="00FE2E64" w:rsidRPr="00E940B9">
        <w:rPr>
          <w:rFonts w:eastAsia="Times New Roman" w:cs="Times New Roman"/>
        </w:rPr>
        <w:t>master contract</w:t>
      </w:r>
      <w:r w:rsidR="00FE2E64">
        <w:rPr>
          <w:rFonts w:eastAsia="Times New Roman" w:cs="Times New Roman"/>
        </w:rPr>
        <w:t xml:space="preserve"> </w:t>
      </w:r>
      <w:r w:rsidR="00840A8A">
        <w:rPr>
          <w:rFonts w:eastAsia="Times New Roman" w:cs="Times New Roman"/>
        </w:rPr>
        <w:t xml:space="preserve">for </w:t>
      </w:r>
      <w:r w:rsidR="002B6320">
        <w:rPr>
          <w:rFonts w:eastAsia="Times New Roman" w:cs="Times New Roman"/>
        </w:rPr>
        <w:t xml:space="preserve">faculty-directed applied </w:t>
      </w:r>
      <w:r w:rsidR="00840A8A">
        <w:rPr>
          <w:rFonts w:eastAsia="Times New Roman" w:cs="Times New Roman"/>
        </w:rPr>
        <w:t>academic research services</w:t>
      </w:r>
      <w:r w:rsidR="00544FEB">
        <w:rPr>
          <w:rFonts w:eastAsia="Times New Roman" w:cs="Times New Roman"/>
        </w:rPr>
        <w:t xml:space="preserve">, utilizing </w:t>
      </w:r>
      <w:r w:rsidR="00FE2E64">
        <w:rPr>
          <w:rFonts w:eastAsia="Times New Roman" w:cs="Times New Roman"/>
        </w:rPr>
        <w:t>task orders</w:t>
      </w:r>
      <w:r w:rsidR="00FE2E64" w:rsidRPr="00E940B9">
        <w:rPr>
          <w:rFonts w:eastAsia="Times New Roman" w:cs="Times New Roman"/>
        </w:rPr>
        <w:t xml:space="preserve"> for</w:t>
      </w:r>
      <w:r w:rsidR="00544FEB">
        <w:rPr>
          <w:rFonts w:eastAsia="Times New Roman" w:cs="Times New Roman"/>
        </w:rPr>
        <w:t xml:space="preserve"> particular</w:t>
      </w:r>
      <w:r w:rsidR="00FE2E64" w:rsidRPr="00E940B9">
        <w:rPr>
          <w:rFonts w:eastAsia="Times New Roman" w:cs="Times New Roman"/>
        </w:rPr>
        <w:t xml:space="preserve"> academic research services with a consortium </w:t>
      </w:r>
      <w:r w:rsidR="00544FEB">
        <w:rPr>
          <w:rFonts w:eastAsia="Times New Roman" w:cs="Times New Roman"/>
        </w:rPr>
        <w:t xml:space="preserve">(vendor) </w:t>
      </w:r>
      <w:r w:rsidR="00FE2E64" w:rsidRPr="00E940B9">
        <w:rPr>
          <w:rFonts w:eastAsia="Times New Roman" w:cs="Times New Roman"/>
        </w:rPr>
        <w:t xml:space="preserve">pool of </w:t>
      </w:r>
      <w:r w:rsidR="00544FEB">
        <w:rPr>
          <w:rFonts w:eastAsia="Times New Roman" w:cs="Times New Roman"/>
        </w:rPr>
        <w:t xml:space="preserve">academic </w:t>
      </w:r>
      <w:r w:rsidR="00FE2E64" w:rsidRPr="00E940B9">
        <w:rPr>
          <w:rFonts w:eastAsia="Times New Roman" w:cs="Times New Roman"/>
        </w:rPr>
        <w:t>institutions</w:t>
      </w:r>
      <w:r w:rsidR="00F82309">
        <w:rPr>
          <w:rFonts w:eastAsia="Times New Roman" w:cs="Times New Roman"/>
        </w:rPr>
        <w:t xml:space="preserve"> (the </w:t>
      </w:r>
      <w:r w:rsidR="00F82309" w:rsidRPr="00F82309">
        <w:rPr>
          <w:rFonts w:eastAsia="Times New Roman" w:cs="Times New Roman"/>
          <w:b/>
        </w:rPr>
        <w:t>Academic Consortium</w:t>
      </w:r>
      <w:r w:rsidR="00F82309">
        <w:rPr>
          <w:rFonts w:eastAsia="Times New Roman" w:cs="Times New Roman"/>
        </w:rPr>
        <w:t>)</w:t>
      </w:r>
      <w:r w:rsidR="00FE2E64">
        <w:rPr>
          <w:rFonts w:eastAsia="Times New Roman" w:cs="Times New Roman"/>
        </w:rPr>
        <w:t xml:space="preserve">.  </w:t>
      </w:r>
      <w:r w:rsidR="00FE2E64">
        <w:t xml:space="preserve">The </w:t>
      </w:r>
      <w:r w:rsidR="00840A8A">
        <w:t xml:space="preserve">15 </w:t>
      </w:r>
      <w:r w:rsidR="00FE2E64">
        <w:t>academic institutions in the</w:t>
      </w:r>
      <w:r w:rsidR="00F82309">
        <w:t xml:space="preserve"> Academic C</w:t>
      </w:r>
      <w:r w:rsidR="00544FEB">
        <w:t>onsortium</w:t>
      </w:r>
      <w:r w:rsidR="00F82309">
        <w:t xml:space="preserve"> are</w:t>
      </w:r>
      <w:r w:rsidR="00FE2E64">
        <w:t>:</w:t>
      </w:r>
    </w:p>
    <w:p w:rsidR="00034D5F" w:rsidRPr="00DD1FDC" w:rsidRDefault="00034D5F" w:rsidP="00840A8A">
      <w:pPr>
        <w:spacing w:after="0" w:line="276" w:lineRule="auto"/>
        <w:jc w:val="both"/>
      </w:pPr>
    </w:p>
    <w:p w:rsidR="00FE2E64" w:rsidRPr="00034D5F" w:rsidRDefault="00210425" w:rsidP="00034D5F">
      <w:pPr>
        <w:numPr>
          <w:ilvl w:val="0"/>
          <w:numId w:val="9"/>
        </w:numPr>
        <w:spacing w:after="0" w:line="276" w:lineRule="auto"/>
      </w:pPr>
      <w:hyperlink r:id="rId14" w:tgtFrame="_blank" w:history="1">
        <w:r w:rsidR="00FE2E64" w:rsidRPr="00034D5F">
          <w:rPr>
            <w:rStyle w:val="Hyperlink"/>
            <w:color w:val="auto"/>
            <w:u w:val="none"/>
          </w:rPr>
          <w:t>Brooklyn Law School</w:t>
        </w:r>
      </w:hyperlink>
    </w:p>
    <w:p w:rsidR="00FE2E64" w:rsidRPr="00034D5F" w:rsidRDefault="00210425" w:rsidP="00034D5F">
      <w:pPr>
        <w:numPr>
          <w:ilvl w:val="0"/>
          <w:numId w:val="9"/>
        </w:numPr>
        <w:spacing w:after="0" w:line="276" w:lineRule="auto"/>
      </w:pPr>
      <w:hyperlink r:id="rId15" w:tgtFrame="_blank" w:history="1">
        <w:r w:rsidR="00FE2E64" w:rsidRPr="00034D5F">
          <w:rPr>
            <w:rStyle w:val="Hyperlink"/>
            <w:color w:val="auto"/>
            <w:u w:val="none"/>
          </w:rPr>
          <w:t>City University of New York</w:t>
        </w:r>
      </w:hyperlink>
    </w:p>
    <w:p w:rsidR="00FE2E64" w:rsidRPr="00034D5F" w:rsidRDefault="00210425" w:rsidP="00034D5F">
      <w:pPr>
        <w:numPr>
          <w:ilvl w:val="0"/>
          <w:numId w:val="9"/>
        </w:numPr>
        <w:spacing w:after="0" w:line="276" w:lineRule="auto"/>
      </w:pPr>
      <w:hyperlink r:id="rId16" w:tgtFrame="_blank" w:history="1">
        <w:r w:rsidR="00FE2E64" w:rsidRPr="00034D5F">
          <w:rPr>
            <w:rStyle w:val="Hyperlink"/>
            <w:color w:val="auto"/>
            <w:u w:val="none"/>
          </w:rPr>
          <w:t>Columbia University</w:t>
        </w:r>
      </w:hyperlink>
    </w:p>
    <w:p w:rsidR="00FE2E64" w:rsidRPr="00034D5F" w:rsidRDefault="00210425" w:rsidP="00034D5F">
      <w:pPr>
        <w:numPr>
          <w:ilvl w:val="0"/>
          <w:numId w:val="9"/>
        </w:numPr>
        <w:spacing w:after="0" w:line="276" w:lineRule="auto"/>
      </w:pPr>
      <w:hyperlink r:id="rId17" w:tgtFrame="_blank" w:history="1">
        <w:r w:rsidR="00FE2E64" w:rsidRPr="00034D5F">
          <w:rPr>
            <w:rStyle w:val="Hyperlink"/>
            <w:color w:val="auto"/>
            <w:u w:val="none"/>
          </w:rPr>
          <w:t>Cornell University</w:t>
        </w:r>
      </w:hyperlink>
    </w:p>
    <w:p w:rsidR="00FE2E64" w:rsidRPr="00034D5F" w:rsidRDefault="00210425" w:rsidP="00034D5F">
      <w:pPr>
        <w:numPr>
          <w:ilvl w:val="0"/>
          <w:numId w:val="9"/>
        </w:numPr>
        <w:spacing w:after="0" w:line="276" w:lineRule="auto"/>
      </w:pPr>
      <w:hyperlink r:id="rId18" w:tgtFrame="_blank" w:history="1">
        <w:r w:rsidR="00FE2E64" w:rsidRPr="00034D5F">
          <w:rPr>
            <w:rStyle w:val="Hyperlink"/>
            <w:color w:val="auto"/>
            <w:u w:val="none"/>
          </w:rPr>
          <w:t>Drexel University</w:t>
        </w:r>
      </w:hyperlink>
    </w:p>
    <w:p w:rsidR="00FE2E64" w:rsidRPr="00034D5F" w:rsidRDefault="00210425" w:rsidP="00034D5F">
      <w:pPr>
        <w:numPr>
          <w:ilvl w:val="0"/>
          <w:numId w:val="9"/>
        </w:numPr>
        <w:spacing w:after="0" w:line="276" w:lineRule="auto"/>
      </w:pPr>
      <w:hyperlink r:id="rId19" w:tgtFrame="_blank" w:history="1">
        <w:r w:rsidR="00FE2E64" w:rsidRPr="00034D5F">
          <w:rPr>
            <w:rStyle w:val="Hyperlink"/>
            <w:color w:val="auto"/>
            <w:u w:val="none"/>
          </w:rPr>
          <w:t>Fordham University</w:t>
        </w:r>
      </w:hyperlink>
    </w:p>
    <w:p w:rsidR="00FE2E64" w:rsidRPr="00034D5F" w:rsidRDefault="00210425" w:rsidP="00034D5F">
      <w:pPr>
        <w:numPr>
          <w:ilvl w:val="0"/>
          <w:numId w:val="9"/>
        </w:numPr>
        <w:spacing w:after="0" w:line="276" w:lineRule="auto"/>
      </w:pPr>
      <w:hyperlink r:id="rId20" w:tgtFrame="_blank" w:history="1">
        <w:r w:rsidR="00FE2E64" w:rsidRPr="00034D5F">
          <w:rPr>
            <w:rStyle w:val="Hyperlink"/>
            <w:color w:val="auto"/>
            <w:u w:val="none"/>
          </w:rPr>
          <w:t>Manhattan College</w:t>
        </w:r>
      </w:hyperlink>
    </w:p>
    <w:p w:rsidR="00FE2E64" w:rsidRPr="00034D5F" w:rsidRDefault="00210425" w:rsidP="00034D5F">
      <w:pPr>
        <w:numPr>
          <w:ilvl w:val="0"/>
          <w:numId w:val="9"/>
        </w:numPr>
        <w:spacing w:after="0" w:line="276" w:lineRule="auto"/>
      </w:pPr>
      <w:hyperlink r:id="rId21" w:tgtFrame="_blank" w:history="1">
        <w:r w:rsidR="00FE2E64" w:rsidRPr="00034D5F">
          <w:rPr>
            <w:rStyle w:val="Hyperlink"/>
            <w:color w:val="auto"/>
            <w:u w:val="none"/>
          </w:rPr>
          <w:t>New York Institute of Technology</w:t>
        </w:r>
      </w:hyperlink>
    </w:p>
    <w:p w:rsidR="00FE2E64" w:rsidRPr="00034D5F" w:rsidRDefault="00210425" w:rsidP="00034D5F">
      <w:pPr>
        <w:numPr>
          <w:ilvl w:val="0"/>
          <w:numId w:val="9"/>
        </w:numPr>
        <w:spacing w:after="0" w:line="276" w:lineRule="auto"/>
      </w:pPr>
      <w:hyperlink r:id="rId22" w:tgtFrame="_blank" w:history="1">
        <w:r w:rsidR="00FE2E64" w:rsidRPr="00034D5F">
          <w:rPr>
            <w:rStyle w:val="Hyperlink"/>
            <w:color w:val="auto"/>
            <w:u w:val="none"/>
          </w:rPr>
          <w:t>New York University</w:t>
        </w:r>
      </w:hyperlink>
    </w:p>
    <w:p w:rsidR="00FE2E64" w:rsidRPr="00034D5F" w:rsidRDefault="00210425" w:rsidP="00034D5F">
      <w:pPr>
        <w:numPr>
          <w:ilvl w:val="0"/>
          <w:numId w:val="9"/>
        </w:numPr>
        <w:spacing w:after="0" w:line="276" w:lineRule="auto"/>
      </w:pPr>
      <w:hyperlink r:id="rId23" w:tgtFrame="_blank" w:history="1">
        <w:r w:rsidR="00FE2E64" w:rsidRPr="00034D5F">
          <w:rPr>
            <w:rStyle w:val="Hyperlink"/>
            <w:color w:val="auto"/>
            <w:u w:val="none"/>
          </w:rPr>
          <w:t>Pace University</w:t>
        </w:r>
      </w:hyperlink>
    </w:p>
    <w:p w:rsidR="00FE2E64" w:rsidRPr="00034D5F" w:rsidRDefault="00210425" w:rsidP="00034D5F">
      <w:pPr>
        <w:numPr>
          <w:ilvl w:val="0"/>
          <w:numId w:val="9"/>
        </w:numPr>
        <w:spacing w:after="0" w:line="276" w:lineRule="auto"/>
      </w:pPr>
      <w:hyperlink r:id="rId24" w:tgtFrame="_blank" w:history="1">
        <w:r w:rsidR="00FE2E64" w:rsidRPr="00034D5F">
          <w:rPr>
            <w:rStyle w:val="Hyperlink"/>
            <w:color w:val="auto"/>
            <w:u w:val="none"/>
          </w:rPr>
          <w:t>Pratt Institute</w:t>
        </w:r>
      </w:hyperlink>
    </w:p>
    <w:p w:rsidR="00FE2E64" w:rsidRPr="00034D5F" w:rsidRDefault="00210425" w:rsidP="00034D5F">
      <w:pPr>
        <w:numPr>
          <w:ilvl w:val="0"/>
          <w:numId w:val="9"/>
        </w:numPr>
        <w:spacing w:after="0" w:line="276" w:lineRule="auto"/>
      </w:pPr>
      <w:hyperlink r:id="rId25" w:tgtFrame="_blank" w:history="1">
        <w:r w:rsidR="00FE2E64" w:rsidRPr="00034D5F">
          <w:rPr>
            <w:rStyle w:val="Hyperlink"/>
            <w:color w:val="auto"/>
            <w:u w:val="none"/>
          </w:rPr>
          <w:t>State University of New York</w:t>
        </w:r>
      </w:hyperlink>
    </w:p>
    <w:p w:rsidR="00FE2E64" w:rsidRPr="00034D5F" w:rsidRDefault="00210425" w:rsidP="00034D5F">
      <w:pPr>
        <w:numPr>
          <w:ilvl w:val="0"/>
          <w:numId w:val="9"/>
        </w:numPr>
        <w:spacing w:after="0" w:line="276" w:lineRule="auto"/>
      </w:pPr>
      <w:hyperlink r:id="rId26" w:tgtFrame="_blank" w:history="1">
        <w:r w:rsidR="00FE2E64" w:rsidRPr="00034D5F">
          <w:rPr>
            <w:rStyle w:val="Hyperlink"/>
            <w:color w:val="auto"/>
            <w:u w:val="none"/>
          </w:rPr>
          <w:t>The Cooper Union</w:t>
        </w:r>
      </w:hyperlink>
    </w:p>
    <w:p w:rsidR="00FE2E64" w:rsidRPr="00034D5F" w:rsidRDefault="00210425" w:rsidP="00034D5F">
      <w:pPr>
        <w:numPr>
          <w:ilvl w:val="0"/>
          <w:numId w:val="9"/>
        </w:numPr>
        <w:spacing w:after="0" w:line="276" w:lineRule="auto"/>
      </w:pPr>
      <w:hyperlink r:id="rId27" w:tgtFrame="_blank" w:history="1">
        <w:r w:rsidR="00FE2E64" w:rsidRPr="00034D5F">
          <w:rPr>
            <w:rStyle w:val="Hyperlink"/>
            <w:color w:val="auto"/>
            <w:u w:val="none"/>
          </w:rPr>
          <w:t>The New School</w:t>
        </w:r>
      </w:hyperlink>
    </w:p>
    <w:p w:rsidR="00FE2E64" w:rsidRDefault="00210425" w:rsidP="00034D5F">
      <w:pPr>
        <w:numPr>
          <w:ilvl w:val="0"/>
          <w:numId w:val="9"/>
        </w:numPr>
        <w:spacing w:after="0" w:line="276" w:lineRule="auto"/>
        <w:rPr>
          <w:rStyle w:val="Hyperlink"/>
          <w:color w:val="auto"/>
          <w:u w:val="none"/>
        </w:rPr>
      </w:pPr>
      <w:hyperlink r:id="rId28" w:tgtFrame="_blank" w:history="1">
        <w:r w:rsidR="00FE2E64" w:rsidRPr="00034D5F">
          <w:rPr>
            <w:rStyle w:val="Hyperlink"/>
            <w:color w:val="auto"/>
            <w:u w:val="none"/>
          </w:rPr>
          <w:t>Tufts University</w:t>
        </w:r>
      </w:hyperlink>
    </w:p>
    <w:p w:rsidR="00034D5F" w:rsidRPr="00034D5F" w:rsidRDefault="00034D5F" w:rsidP="00F82309">
      <w:pPr>
        <w:spacing w:after="0" w:line="276" w:lineRule="auto"/>
        <w:ind w:left="720"/>
      </w:pPr>
    </w:p>
    <w:p w:rsidR="00CD6E23" w:rsidRDefault="00183657" w:rsidP="00FE2E64">
      <w:bookmarkStart w:id="3" w:name="_Hlk516134261"/>
      <w:r w:rsidRPr="0074038A">
        <w:t>Any combination of city agencies, state agencies and certain not-for-profit corporations (collectively</w:t>
      </w:r>
      <w:r>
        <w:t>,</w:t>
      </w:r>
      <w:r w:rsidRPr="0074038A">
        <w:t xml:space="preserve"> the </w:t>
      </w:r>
      <w:r w:rsidR="00A5747C">
        <w:rPr>
          <w:b/>
        </w:rPr>
        <w:t>Requestor</w:t>
      </w:r>
      <w:r>
        <w:t xml:space="preserve">, as defined in the Master Contract as a </w:t>
      </w:r>
      <w:r w:rsidRPr="00066B79">
        <w:t xml:space="preserve">Requesting City Agency, a Requesting Public Entity </w:t>
      </w:r>
      <w:r w:rsidRPr="00066B79">
        <w:lastRenderedPageBreak/>
        <w:t>and any combination of either or both</w:t>
      </w:r>
      <w:r>
        <w:t xml:space="preserve">) </w:t>
      </w:r>
      <w:r w:rsidRPr="0074038A">
        <w:t xml:space="preserve">can utilize the Master Contract </w:t>
      </w:r>
      <w:r w:rsidR="00FE2E64" w:rsidRPr="00DD1FDC">
        <w:t>by submitting a</w:t>
      </w:r>
      <w:r w:rsidR="00CD6E23">
        <w:t xml:space="preserve"> request for proposal</w:t>
      </w:r>
      <w:r w:rsidR="00F82309">
        <w:t xml:space="preserve"> under the Master Contract (the</w:t>
      </w:r>
      <w:r w:rsidR="00FE2E64" w:rsidRPr="00DD1FDC">
        <w:t xml:space="preserve"> </w:t>
      </w:r>
      <w:r w:rsidR="00FE2E64" w:rsidRPr="00DD1FDC">
        <w:rPr>
          <w:b/>
          <w:bCs/>
        </w:rPr>
        <w:t>Town+Gown RFP</w:t>
      </w:r>
      <w:r w:rsidR="00F82309">
        <w:rPr>
          <w:b/>
          <w:bCs/>
        </w:rPr>
        <w:t xml:space="preserve">) </w:t>
      </w:r>
      <w:r w:rsidR="00FE2E64" w:rsidRPr="00DD1FDC">
        <w:t xml:space="preserve">to </w:t>
      </w:r>
      <w:r w:rsidR="00CD6E23">
        <w:t>Town+Gown/</w:t>
      </w:r>
      <w:r w:rsidR="00FE2E64" w:rsidRPr="00CD6E23">
        <w:t>DDC</w:t>
      </w:r>
      <w:r w:rsidR="00F82309">
        <w:t>,</w:t>
      </w:r>
      <w:r w:rsidR="00FE2E64" w:rsidRPr="00DD1FDC">
        <w:t xml:space="preserve"> as </w:t>
      </w:r>
      <w:r w:rsidR="00F82309">
        <w:t>administrator of the Master Contract,</w:t>
      </w:r>
      <w:r w:rsidR="00FE2E64" w:rsidRPr="00DD1FDC">
        <w:t xml:space="preserve"> for </w:t>
      </w:r>
      <w:r w:rsidR="00CD6E23">
        <w:t>Town+Gown/</w:t>
      </w:r>
      <w:r w:rsidR="00FE2E64" w:rsidRPr="00CD6E23">
        <w:t>DDC</w:t>
      </w:r>
      <w:r w:rsidR="00FE2E64" w:rsidRPr="00DD1FDC">
        <w:t xml:space="preserve"> to transmit to the </w:t>
      </w:r>
      <w:r w:rsidR="00534C59">
        <w:t>Academic C</w:t>
      </w:r>
      <w:r w:rsidR="00FE2E64" w:rsidRPr="00DD1FDC">
        <w:t xml:space="preserve">onsortium institutions.  The </w:t>
      </w:r>
      <w:r w:rsidR="00040FD4">
        <w:t xml:space="preserve">Academic Consortium </w:t>
      </w:r>
      <w:r w:rsidR="00FE2E64" w:rsidRPr="00DD1FDC">
        <w:t xml:space="preserve">institutions would respond with their </w:t>
      </w:r>
      <w:r w:rsidR="00040FD4">
        <w:t xml:space="preserve">respective </w:t>
      </w:r>
      <w:r w:rsidR="00FE2E64" w:rsidRPr="00DD1FDC">
        <w:rPr>
          <w:b/>
          <w:bCs/>
        </w:rPr>
        <w:t>Proposal in Response</w:t>
      </w:r>
      <w:r w:rsidR="00FE2E64" w:rsidRPr="00DD1FDC">
        <w:t xml:space="preserve">, and the Proposal in Response selected by the </w:t>
      </w:r>
      <w:r w:rsidR="00A5747C">
        <w:t>Requestor</w:t>
      </w:r>
      <w:r w:rsidR="00FE2E64" w:rsidRPr="00DD1FDC">
        <w:t xml:space="preserve"> would become the </w:t>
      </w:r>
      <w:r w:rsidR="00FE2E64" w:rsidRPr="00DD1FDC">
        <w:rPr>
          <w:b/>
          <w:bCs/>
        </w:rPr>
        <w:t>Task Order</w:t>
      </w:r>
      <w:r w:rsidR="00FE2E64" w:rsidRPr="00DD1FDC">
        <w:t xml:space="preserve"> for the research project.  </w:t>
      </w:r>
      <w:r w:rsidR="00040FD4">
        <w:t xml:space="preserve">  </w:t>
      </w:r>
      <w:r w:rsidR="00CD6E23">
        <w:t xml:space="preserve">The Master Contract provides an option for the Academic Consortium institutions to respond with a No Bid Response form in lieu of fielding a Proposal in Response.  </w:t>
      </w:r>
      <w:r w:rsidR="00040FD4">
        <w:t xml:space="preserve">The Town+Gown RFP, Proposal in Response and Task Order documents are in template form </w:t>
      </w:r>
      <w:r w:rsidR="00CD6E23">
        <w:t xml:space="preserve">with instruction memos and all are </w:t>
      </w:r>
      <w:r w:rsidR="00040FD4">
        <w:t xml:space="preserve">posted on the Town+Gown website </w:t>
      </w:r>
      <w:r w:rsidR="00CD6E23">
        <w:t>at the link above.</w:t>
      </w:r>
    </w:p>
    <w:p w:rsidR="00FE2E64" w:rsidRDefault="00040FD4" w:rsidP="00FE2E64">
      <w:r>
        <w:t>Features of the Master Contract and</w:t>
      </w:r>
      <w:r w:rsidR="00CD6E23">
        <w:t xml:space="preserve"> the</w:t>
      </w:r>
      <w:r>
        <w:t xml:space="preserve"> template form documents permit:</w:t>
      </w:r>
    </w:p>
    <w:p w:rsidR="00FE2E64" w:rsidRDefault="00A5747C" w:rsidP="00FE2E64">
      <w:pPr>
        <w:pStyle w:val="ListParagraph"/>
        <w:numPr>
          <w:ilvl w:val="0"/>
          <w:numId w:val="8"/>
        </w:numPr>
        <w:spacing w:after="200" w:line="276" w:lineRule="auto"/>
      </w:pPr>
      <w:r>
        <w:t>Requestor</w:t>
      </w:r>
      <w:r w:rsidR="007E5B6E">
        <w:t xml:space="preserve"> program and ACCO staff </w:t>
      </w:r>
      <w:r w:rsidR="00FE2E64">
        <w:t xml:space="preserve">to focus on </w:t>
      </w:r>
      <w:r w:rsidR="007E5B6E">
        <w:t>their</w:t>
      </w:r>
      <w:r w:rsidR="00FE2E64">
        <w:t xml:space="preserve"> research needs</w:t>
      </w:r>
      <w:r w:rsidR="007E5B6E">
        <w:t xml:space="preserve">, </w:t>
      </w:r>
      <w:r w:rsidR="00FE2E64">
        <w:t>project scope</w:t>
      </w:r>
      <w:r w:rsidR="007E5B6E">
        <w:t xml:space="preserve"> and required deliverables</w:t>
      </w:r>
    </w:p>
    <w:p w:rsidR="007E5B6E" w:rsidRDefault="007E5B6E" w:rsidP="007E5B6E">
      <w:pPr>
        <w:pStyle w:val="ListParagraph"/>
        <w:numPr>
          <w:ilvl w:val="0"/>
          <w:numId w:val="8"/>
        </w:numPr>
        <w:spacing w:after="0" w:line="276" w:lineRule="auto"/>
        <w:jc w:val="both"/>
      </w:pPr>
      <w:r>
        <w:t xml:space="preserve">The 15 Academic Consortium institutions that form the Master Contract vendor pool to function as a pre-qualified list, with </w:t>
      </w:r>
      <w:r w:rsidRPr="0032080A">
        <w:t xml:space="preserve">competition taking place at the </w:t>
      </w:r>
      <w:r>
        <w:t>T</w:t>
      </w:r>
      <w:r w:rsidRPr="0032080A">
        <w:t xml:space="preserve">ask </w:t>
      </w:r>
      <w:r>
        <w:t>O</w:t>
      </w:r>
      <w:r w:rsidRPr="0032080A">
        <w:t>rder level</w:t>
      </w:r>
    </w:p>
    <w:p w:rsidR="00FE2E64" w:rsidRDefault="007E5B6E" w:rsidP="00FE2E64">
      <w:pPr>
        <w:pStyle w:val="ListParagraph"/>
        <w:numPr>
          <w:ilvl w:val="0"/>
          <w:numId w:val="8"/>
        </w:numPr>
        <w:spacing w:after="200" w:line="276" w:lineRule="auto"/>
      </w:pPr>
      <w:r>
        <w:t xml:space="preserve">The responding </w:t>
      </w:r>
      <w:r w:rsidR="00FE2E64">
        <w:t>Academic Consortium</w:t>
      </w:r>
      <w:r w:rsidR="00040FD4">
        <w:t xml:space="preserve"> institut</w:t>
      </w:r>
      <w:r>
        <w:t>ions</w:t>
      </w:r>
      <w:r w:rsidR="00FE2E64">
        <w:t xml:space="preserve"> to focus </w:t>
      </w:r>
      <w:r w:rsidR="00040FD4">
        <w:t xml:space="preserve">on their </w:t>
      </w:r>
      <w:r>
        <w:t xml:space="preserve">research capacities and </w:t>
      </w:r>
      <w:r w:rsidR="00FE2E64">
        <w:t>responses</w:t>
      </w:r>
      <w:r w:rsidR="00040FD4">
        <w:t xml:space="preserve"> </w:t>
      </w:r>
      <w:r>
        <w:t xml:space="preserve">on the project scope and deliverables </w:t>
      </w:r>
    </w:p>
    <w:p w:rsidR="00FE2E64" w:rsidRDefault="00040FD4" w:rsidP="00FE2E64">
      <w:pPr>
        <w:pStyle w:val="ListParagraph"/>
        <w:numPr>
          <w:ilvl w:val="0"/>
          <w:numId w:val="8"/>
        </w:numPr>
        <w:spacing w:after="200" w:line="276" w:lineRule="auto"/>
      </w:pPr>
      <w:r>
        <w:t>T</w:t>
      </w:r>
      <w:r w:rsidR="007E5B6E">
        <w:t>he resulting T</w:t>
      </w:r>
      <w:r>
        <w:t xml:space="preserve">ask Order </w:t>
      </w:r>
      <w:r w:rsidR="007E5B6E">
        <w:t xml:space="preserve">to </w:t>
      </w:r>
      <w:r>
        <w:t xml:space="preserve">focus </w:t>
      </w:r>
      <w:r w:rsidR="00FE2E64">
        <w:t>on the research project</w:t>
      </w:r>
      <w:r>
        <w:t xml:space="preserve"> only</w:t>
      </w:r>
      <w:r w:rsidR="007E5B6E">
        <w:t>,</w:t>
      </w:r>
      <w:r w:rsidR="00FE2E64">
        <w:t xml:space="preserve"> with all general contract provisions already in the Master Contract</w:t>
      </w:r>
    </w:p>
    <w:p w:rsidR="00AF40CB" w:rsidRDefault="00FE2E64" w:rsidP="00040FD4">
      <w:pPr>
        <w:pStyle w:val="ListParagraph"/>
        <w:numPr>
          <w:ilvl w:val="0"/>
          <w:numId w:val="8"/>
        </w:numPr>
        <w:spacing w:after="0" w:line="276" w:lineRule="auto"/>
        <w:jc w:val="both"/>
      </w:pPr>
      <w:r w:rsidRPr="008C715C">
        <w:t xml:space="preserve">Joint proposals among </w:t>
      </w:r>
      <w:r w:rsidR="00040FD4">
        <w:t xml:space="preserve">Academic Consortium institutions to </w:t>
      </w:r>
      <w:r w:rsidRPr="008C715C">
        <w:t>increas</w:t>
      </w:r>
      <w:r w:rsidR="00040FD4">
        <w:t>e</w:t>
      </w:r>
      <w:r w:rsidRPr="008C715C">
        <w:t xml:space="preserve"> response rate from Academic Consortium </w:t>
      </w:r>
      <w:r w:rsidR="00040FD4">
        <w:t>institutions</w:t>
      </w:r>
    </w:p>
    <w:p w:rsidR="00FA2F81" w:rsidRDefault="00FA2F81" w:rsidP="00FA2F81">
      <w:pPr>
        <w:pStyle w:val="ListParagraph"/>
        <w:numPr>
          <w:ilvl w:val="0"/>
          <w:numId w:val="8"/>
        </w:numPr>
        <w:spacing w:after="200" w:line="276" w:lineRule="auto"/>
      </w:pPr>
      <w:r>
        <w:t xml:space="preserve">A fast-tracked process that </w:t>
      </w:r>
      <w:r w:rsidRPr="007E5B6E">
        <w:rPr>
          <w:i/>
        </w:rPr>
        <w:t>can</w:t>
      </w:r>
      <w:r>
        <w:t xml:space="preserve"> be as quick as 90-days</w:t>
      </w:r>
    </w:p>
    <w:bookmarkEnd w:id="3"/>
    <w:p w:rsidR="002B3602" w:rsidRDefault="002B3602" w:rsidP="002B3602">
      <w:pPr>
        <w:spacing w:after="0" w:line="276" w:lineRule="auto"/>
        <w:rPr>
          <w:rFonts w:eastAsia="Times New Roman" w:cs="Times New Roman"/>
        </w:rPr>
      </w:pPr>
      <w:r>
        <w:rPr>
          <w:rFonts w:eastAsia="Times New Roman" w:cs="Times New Roman"/>
          <w:b/>
          <w:i/>
        </w:rPr>
        <w:t>Research Projects</w:t>
      </w:r>
      <w:r w:rsidR="009A11DE">
        <w:rPr>
          <w:rFonts w:eastAsia="Times New Roman" w:cs="Times New Roman"/>
          <w:b/>
          <w:i/>
        </w:rPr>
        <w:t xml:space="preserve"> Awarded</w:t>
      </w:r>
      <w:r>
        <w:rPr>
          <w:rFonts w:eastAsia="Times New Roman" w:cs="Times New Roman"/>
          <w:b/>
          <w:i/>
        </w:rPr>
        <w:t xml:space="preserve"> </w:t>
      </w:r>
      <w:r w:rsidR="00CD6E23">
        <w:rPr>
          <w:rFonts w:eastAsia="Times New Roman" w:cs="Times New Roman"/>
          <w:b/>
          <w:i/>
        </w:rPr>
        <w:t xml:space="preserve">to Date </w:t>
      </w:r>
      <w:r>
        <w:rPr>
          <w:rFonts w:eastAsia="Times New Roman" w:cs="Times New Roman"/>
          <w:b/>
          <w:i/>
        </w:rPr>
        <w:t>under the Master Contract.</w:t>
      </w:r>
    </w:p>
    <w:p w:rsidR="002B3602" w:rsidRDefault="002B3602" w:rsidP="002B3602">
      <w:pPr>
        <w:spacing w:after="0" w:line="276" w:lineRule="auto"/>
        <w:rPr>
          <w:rFonts w:eastAsia="Times New Roman" w:cs="Times New Roman"/>
        </w:rPr>
      </w:pPr>
    </w:p>
    <w:tbl>
      <w:tblPr>
        <w:tblStyle w:val="TableGrid"/>
        <w:tblW w:w="0" w:type="auto"/>
        <w:tblLook w:val="04A0" w:firstRow="1" w:lastRow="0" w:firstColumn="1" w:lastColumn="0" w:noHBand="0" w:noVBand="1"/>
      </w:tblPr>
      <w:tblGrid>
        <w:gridCol w:w="1936"/>
        <w:gridCol w:w="1998"/>
        <w:gridCol w:w="2038"/>
        <w:gridCol w:w="1808"/>
        <w:gridCol w:w="1570"/>
      </w:tblGrid>
      <w:tr w:rsidR="00F42B6C" w:rsidTr="00F42B6C">
        <w:tc>
          <w:tcPr>
            <w:tcW w:w="1936"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Academic Year</w:t>
            </w:r>
          </w:p>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Research Project</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Academic Institution</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Agency</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Funded Amount</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2014-2015</w:t>
            </w:r>
          </w:p>
        </w:tc>
        <w:tc>
          <w:tcPr>
            <w:tcW w:w="1998" w:type="dxa"/>
          </w:tcPr>
          <w:p w:rsidR="00F42B6C" w:rsidRPr="009A11DE" w:rsidRDefault="005432C9" w:rsidP="002B3602">
            <w:pPr>
              <w:spacing w:line="276" w:lineRule="auto"/>
              <w:rPr>
                <w:rFonts w:eastAsia="Times New Roman" w:cs="Times New Roman"/>
                <w:sz w:val="18"/>
                <w:szCs w:val="18"/>
              </w:rPr>
            </w:pPr>
            <w:r w:rsidRPr="009A11DE">
              <w:rPr>
                <w:rFonts w:eastAsia="Times New Roman" w:cs="Times New Roman"/>
                <w:sz w:val="18"/>
                <w:szCs w:val="18"/>
              </w:rPr>
              <w:t>Charrette</w:t>
            </w:r>
            <w:r w:rsidR="00F42B6C" w:rsidRPr="009A11DE">
              <w:rPr>
                <w:rFonts w:eastAsia="Times New Roman" w:cs="Times New Roman"/>
                <w:sz w:val="18"/>
                <w:szCs w:val="18"/>
              </w:rPr>
              <w:t xml:space="preserve"> review of study alternatives for BQE triple cantilever structure (complete) </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NYU/Tandon</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DOT</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2015-2016</w:t>
            </w: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 xml:space="preserve">Equity in Design (complete) </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Pratt/Architecture</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DDC</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 xml:space="preserve">Service Design </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Tufts/Planning</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DDC</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Building Information Models (complete)</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Pratt/Architecture</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DDC</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Healthy Living Design (complete)</w:t>
            </w:r>
          </w:p>
        </w:tc>
        <w:tc>
          <w:tcPr>
            <w:tcW w:w="2038" w:type="dxa"/>
          </w:tcPr>
          <w:p w:rsidR="00F42B6C" w:rsidRPr="009A11DE" w:rsidRDefault="008F140D" w:rsidP="002B3602">
            <w:pPr>
              <w:spacing w:line="276" w:lineRule="auto"/>
              <w:rPr>
                <w:rFonts w:eastAsia="Times New Roman" w:cs="Times New Roman"/>
                <w:sz w:val="18"/>
                <w:szCs w:val="18"/>
              </w:rPr>
            </w:pPr>
            <w:r w:rsidRPr="009A11DE">
              <w:rPr>
                <w:rFonts w:eastAsia="Times New Roman" w:cs="Times New Roman"/>
                <w:sz w:val="18"/>
                <w:szCs w:val="18"/>
              </w:rPr>
              <w:t>Tufts/Planning</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DDC</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2016-2017</w:t>
            </w: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 xml:space="preserve">Wind study required by </w:t>
            </w:r>
            <w:r w:rsidR="008F140D" w:rsidRPr="009A11DE">
              <w:rPr>
                <w:rFonts w:cs="Calibri"/>
                <w:sz w:val="18"/>
                <w:szCs w:val="18"/>
              </w:rPr>
              <w:t>Local Law 81 of 2013</w:t>
            </w:r>
            <w:r w:rsidR="008F140D" w:rsidRPr="009A11DE">
              <w:rPr>
                <w:rFonts w:eastAsia="Times New Roman" w:cs="Times New Roman"/>
                <w:sz w:val="18"/>
                <w:szCs w:val="18"/>
              </w:rPr>
              <w:t xml:space="preserve"> </w:t>
            </w:r>
            <w:r w:rsidRPr="009A11DE">
              <w:rPr>
                <w:rFonts w:eastAsia="Times New Roman" w:cs="Times New Roman"/>
                <w:sz w:val="18"/>
                <w:szCs w:val="18"/>
              </w:rPr>
              <w:t xml:space="preserve">(award; </w:t>
            </w:r>
            <w:r w:rsidR="005432C9" w:rsidRPr="009A11DE">
              <w:rPr>
                <w:rFonts w:eastAsia="Times New Roman" w:cs="Times New Roman"/>
                <w:sz w:val="18"/>
                <w:szCs w:val="18"/>
              </w:rPr>
              <w:t>not yet</w:t>
            </w:r>
            <w:r w:rsidR="00F23B18" w:rsidRPr="009A11DE">
              <w:rPr>
                <w:rFonts w:eastAsia="Times New Roman" w:cs="Times New Roman"/>
                <w:sz w:val="18"/>
                <w:szCs w:val="18"/>
              </w:rPr>
              <w:t xml:space="preserve"> </w:t>
            </w:r>
            <w:r w:rsidRPr="009A11DE">
              <w:rPr>
                <w:rFonts w:eastAsia="Times New Roman" w:cs="Times New Roman"/>
                <w:sz w:val="18"/>
                <w:szCs w:val="18"/>
              </w:rPr>
              <w:t>registered)</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CUNY/</w:t>
            </w:r>
            <w:r w:rsidR="00B36A4E" w:rsidRPr="009A11DE">
              <w:rPr>
                <w:rFonts w:eastAsia="Times New Roman" w:cs="Times New Roman"/>
                <w:sz w:val="18"/>
                <w:szCs w:val="18"/>
              </w:rPr>
              <w:t>CCNY-</w:t>
            </w:r>
            <w:r w:rsidRPr="009A11DE">
              <w:rPr>
                <w:rFonts w:eastAsia="Times New Roman" w:cs="Times New Roman"/>
                <w:sz w:val="18"/>
                <w:szCs w:val="18"/>
              </w:rPr>
              <w:t>Grove</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DOB</w:t>
            </w:r>
            <w:r w:rsidR="00CD6E23" w:rsidRPr="009A11DE">
              <w:rPr>
                <w:rFonts w:eastAsia="Times New Roman" w:cs="Times New Roman"/>
                <w:sz w:val="18"/>
                <w:szCs w:val="18"/>
              </w:rPr>
              <w:t xml:space="preserve"> </w:t>
            </w:r>
            <w:r w:rsidR="009A11DE">
              <w:rPr>
                <w:rFonts w:eastAsia="Times New Roman" w:cs="Times New Roman"/>
                <w:sz w:val="18"/>
                <w:szCs w:val="18"/>
              </w:rPr>
              <w:t>with Mayor’s Office</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w:t>
            </w:r>
            <w:r w:rsidR="00CD6E23" w:rsidRPr="009A11DE">
              <w:rPr>
                <w:sz w:val="18"/>
                <w:szCs w:val="18"/>
              </w:rPr>
              <w:t>561,321</w:t>
            </w:r>
            <w:r w:rsidR="00CD6E23" w:rsidRPr="009A11DE">
              <w:rPr>
                <w:rFonts w:eastAsia="Times New Roman" w:cs="Times New Roman"/>
                <w:sz w:val="18"/>
                <w:szCs w:val="18"/>
              </w:rPr>
              <w:t xml:space="preserve"> </w:t>
            </w:r>
            <w:r w:rsidRPr="009A11DE">
              <w:rPr>
                <w:rFonts w:eastAsia="Times New Roman" w:cs="Times New Roman"/>
                <w:sz w:val="18"/>
                <w:szCs w:val="18"/>
              </w:rPr>
              <w:t>(</w:t>
            </w:r>
            <w:r w:rsidR="00646A27" w:rsidRPr="009A11DE">
              <w:rPr>
                <w:rFonts w:eastAsia="Times New Roman" w:cs="Times New Roman"/>
                <w:sz w:val="18"/>
                <w:szCs w:val="18"/>
              </w:rPr>
              <w:t xml:space="preserve">HUD CDBG </w:t>
            </w:r>
            <w:r w:rsidRPr="009A11DE">
              <w:rPr>
                <w:rFonts w:eastAsia="Times New Roman" w:cs="Times New Roman"/>
                <w:sz w:val="18"/>
                <w:szCs w:val="18"/>
              </w:rPr>
              <w:t>funds)</w:t>
            </w:r>
          </w:p>
        </w:tc>
      </w:tr>
      <w:tr w:rsidR="00F42B6C" w:rsidTr="008F140D">
        <w:trPr>
          <w:trHeight w:val="1250"/>
        </w:trPr>
        <w:tc>
          <w:tcPr>
            <w:tcW w:w="1936" w:type="dxa"/>
          </w:tcPr>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Smart Traffic Analysis Symposium (complete)</w:t>
            </w:r>
          </w:p>
        </w:tc>
        <w:tc>
          <w:tcPr>
            <w:tcW w:w="203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NYU/Tandon</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DOT</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$50,000</w:t>
            </w:r>
          </w:p>
        </w:tc>
      </w:tr>
      <w:tr w:rsidR="00F42B6C" w:rsidTr="00F42B6C">
        <w:tc>
          <w:tcPr>
            <w:tcW w:w="1936" w:type="dxa"/>
          </w:tcPr>
          <w:p w:rsidR="00F42B6C" w:rsidRPr="009A11DE" w:rsidRDefault="00F42B6C" w:rsidP="002B3602">
            <w:pPr>
              <w:spacing w:line="276" w:lineRule="auto"/>
              <w:rPr>
                <w:rFonts w:eastAsia="Times New Roman" w:cs="Times New Roman"/>
                <w:sz w:val="18"/>
                <w:szCs w:val="18"/>
              </w:rPr>
            </w:pPr>
          </w:p>
        </w:tc>
        <w:tc>
          <w:tcPr>
            <w:tcW w:w="199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Risk management</w:t>
            </w:r>
            <w:r w:rsidR="00F23B18" w:rsidRPr="009A11DE">
              <w:rPr>
                <w:rFonts w:eastAsia="Times New Roman" w:cs="Times New Roman"/>
                <w:sz w:val="18"/>
                <w:szCs w:val="18"/>
              </w:rPr>
              <w:t xml:space="preserve"> study </w:t>
            </w:r>
          </w:p>
        </w:tc>
        <w:tc>
          <w:tcPr>
            <w:tcW w:w="2038" w:type="dxa"/>
          </w:tcPr>
          <w:p w:rsidR="00F42B6C" w:rsidRPr="009A11DE" w:rsidRDefault="005A390B" w:rsidP="002B3602">
            <w:pPr>
              <w:spacing w:line="276" w:lineRule="auto"/>
              <w:rPr>
                <w:rFonts w:eastAsia="Times New Roman" w:cs="Times New Roman"/>
                <w:sz w:val="18"/>
                <w:szCs w:val="18"/>
              </w:rPr>
            </w:pPr>
            <w:r w:rsidRPr="009A11DE">
              <w:rPr>
                <w:rFonts w:eastAsia="Times New Roman" w:cs="Times New Roman"/>
                <w:sz w:val="18"/>
                <w:szCs w:val="18"/>
              </w:rPr>
              <w:t>Tufts/Planning and Columbia/Engineering</w:t>
            </w:r>
          </w:p>
        </w:tc>
        <w:tc>
          <w:tcPr>
            <w:tcW w:w="1808"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DOB</w:t>
            </w:r>
          </w:p>
        </w:tc>
        <w:tc>
          <w:tcPr>
            <w:tcW w:w="1570" w:type="dxa"/>
          </w:tcPr>
          <w:p w:rsidR="00F42B6C" w:rsidRPr="009A11DE" w:rsidRDefault="00F42B6C" w:rsidP="002B3602">
            <w:pPr>
              <w:spacing w:line="276" w:lineRule="auto"/>
              <w:rPr>
                <w:rFonts w:eastAsia="Times New Roman" w:cs="Times New Roman"/>
                <w:sz w:val="18"/>
                <w:szCs w:val="18"/>
              </w:rPr>
            </w:pPr>
            <w:r w:rsidRPr="009A11DE">
              <w:rPr>
                <w:rFonts w:eastAsia="Times New Roman" w:cs="Times New Roman"/>
                <w:sz w:val="18"/>
                <w:szCs w:val="18"/>
              </w:rPr>
              <w:t>$120,000</w:t>
            </w:r>
          </w:p>
        </w:tc>
      </w:tr>
      <w:tr w:rsidR="008E69CE" w:rsidTr="00F42B6C">
        <w:tc>
          <w:tcPr>
            <w:tcW w:w="1936" w:type="dxa"/>
          </w:tcPr>
          <w:p w:rsidR="008E69CE" w:rsidRPr="009A11DE" w:rsidRDefault="008E69CE" w:rsidP="002B3602">
            <w:pPr>
              <w:spacing w:line="276" w:lineRule="auto"/>
              <w:rPr>
                <w:rFonts w:eastAsia="Times New Roman" w:cs="Times New Roman"/>
                <w:sz w:val="18"/>
                <w:szCs w:val="18"/>
              </w:rPr>
            </w:pPr>
            <w:r w:rsidRPr="009A11DE">
              <w:rPr>
                <w:rFonts w:eastAsia="Times New Roman" w:cs="Times New Roman"/>
                <w:sz w:val="18"/>
                <w:szCs w:val="18"/>
              </w:rPr>
              <w:t>2017-2018</w:t>
            </w:r>
          </w:p>
        </w:tc>
        <w:tc>
          <w:tcPr>
            <w:tcW w:w="1998" w:type="dxa"/>
          </w:tcPr>
          <w:p w:rsidR="008E69CE" w:rsidRPr="009A11DE" w:rsidRDefault="008E69CE" w:rsidP="002B3602">
            <w:pPr>
              <w:spacing w:line="276" w:lineRule="auto"/>
              <w:rPr>
                <w:rFonts w:eastAsia="Times New Roman" w:cs="Times New Roman"/>
                <w:sz w:val="18"/>
                <w:szCs w:val="18"/>
              </w:rPr>
            </w:pPr>
            <w:r w:rsidRPr="009A11DE">
              <w:rPr>
                <w:rFonts w:eastAsia="Times New Roman" w:cs="Times New Roman"/>
                <w:sz w:val="18"/>
                <w:szCs w:val="18"/>
              </w:rPr>
              <w:t>Citywide stormwwater resiliency study</w:t>
            </w:r>
          </w:p>
        </w:tc>
        <w:tc>
          <w:tcPr>
            <w:tcW w:w="2038" w:type="dxa"/>
          </w:tcPr>
          <w:p w:rsidR="008E69CE" w:rsidRPr="009A11DE" w:rsidRDefault="00B36A4E" w:rsidP="002B3602">
            <w:pPr>
              <w:spacing w:line="276" w:lineRule="auto"/>
              <w:rPr>
                <w:rFonts w:eastAsia="Times New Roman" w:cs="Times New Roman"/>
                <w:sz w:val="18"/>
                <w:szCs w:val="18"/>
              </w:rPr>
            </w:pPr>
            <w:r w:rsidRPr="009A11DE">
              <w:rPr>
                <w:rFonts w:eastAsia="Times New Roman" w:cs="Times New Roman"/>
                <w:sz w:val="18"/>
                <w:szCs w:val="18"/>
              </w:rPr>
              <w:t>CUNY</w:t>
            </w:r>
            <w:r w:rsidR="002B6320" w:rsidRPr="009A11DE">
              <w:rPr>
                <w:rFonts w:eastAsia="Times New Roman" w:cs="Times New Roman"/>
                <w:sz w:val="18"/>
                <w:szCs w:val="18"/>
              </w:rPr>
              <w:t>/Brooklyn</w:t>
            </w:r>
          </w:p>
        </w:tc>
        <w:tc>
          <w:tcPr>
            <w:tcW w:w="1808" w:type="dxa"/>
          </w:tcPr>
          <w:p w:rsidR="008E69CE" w:rsidRPr="009A11DE" w:rsidRDefault="00646A27" w:rsidP="002B3602">
            <w:pPr>
              <w:spacing w:line="276" w:lineRule="auto"/>
              <w:rPr>
                <w:rFonts w:eastAsia="Times New Roman" w:cs="Times New Roman"/>
                <w:sz w:val="18"/>
                <w:szCs w:val="18"/>
              </w:rPr>
            </w:pPr>
            <w:r w:rsidRPr="009A11DE">
              <w:rPr>
                <w:rFonts w:eastAsia="Times New Roman" w:cs="Times New Roman"/>
                <w:sz w:val="18"/>
                <w:szCs w:val="18"/>
              </w:rPr>
              <w:t>DEP</w:t>
            </w:r>
            <w:r w:rsidR="009A11DE">
              <w:rPr>
                <w:rFonts w:eastAsia="Times New Roman" w:cs="Times New Roman"/>
                <w:sz w:val="18"/>
                <w:szCs w:val="18"/>
              </w:rPr>
              <w:t xml:space="preserve"> with Mayor’s Office</w:t>
            </w:r>
          </w:p>
        </w:tc>
        <w:tc>
          <w:tcPr>
            <w:tcW w:w="1570" w:type="dxa"/>
          </w:tcPr>
          <w:p w:rsidR="008E69CE" w:rsidRPr="009A11DE" w:rsidRDefault="00646A27" w:rsidP="002B3602">
            <w:pPr>
              <w:spacing w:line="276" w:lineRule="auto"/>
              <w:rPr>
                <w:rFonts w:eastAsia="Times New Roman" w:cs="Times New Roman"/>
                <w:sz w:val="18"/>
                <w:szCs w:val="18"/>
              </w:rPr>
            </w:pPr>
            <w:r w:rsidRPr="009A11DE">
              <w:rPr>
                <w:rFonts w:eastAsia="Times New Roman" w:cs="Times New Roman"/>
                <w:sz w:val="18"/>
                <w:szCs w:val="18"/>
              </w:rPr>
              <w:t>$</w:t>
            </w:r>
            <w:r w:rsidR="00CD6E23" w:rsidRPr="009A11DE">
              <w:rPr>
                <w:rFonts w:eastAsia="Times New Roman" w:cs="Times New Roman"/>
                <w:sz w:val="18"/>
                <w:szCs w:val="18"/>
              </w:rPr>
              <w:t>1,786,593</w:t>
            </w:r>
          </w:p>
          <w:p w:rsidR="00646A27" w:rsidRPr="009A11DE" w:rsidRDefault="00646A27" w:rsidP="002B3602">
            <w:pPr>
              <w:spacing w:line="276" w:lineRule="auto"/>
              <w:rPr>
                <w:rFonts w:eastAsia="Times New Roman" w:cs="Times New Roman"/>
                <w:sz w:val="18"/>
                <w:szCs w:val="18"/>
              </w:rPr>
            </w:pPr>
            <w:r w:rsidRPr="009A11DE">
              <w:rPr>
                <w:rFonts w:eastAsia="Times New Roman" w:cs="Times New Roman"/>
                <w:sz w:val="18"/>
                <w:szCs w:val="18"/>
              </w:rPr>
              <w:t>(HUD CDBG funds)</w:t>
            </w:r>
          </w:p>
        </w:tc>
      </w:tr>
    </w:tbl>
    <w:p w:rsidR="002B3602" w:rsidRPr="002B3602" w:rsidRDefault="002B3602" w:rsidP="002B3602">
      <w:pPr>
        <w:spacing w:after="0" w:line="276" w:lineRule="auto"/>
        <w:rPr>
          <w:rFonts w:eastAsia="Times New Roman" w:cs="Times New Roman"/>
        </w:rPr>
      </w:pPr>
    </w:p>
    <w:p w:rsidR="00BC33D1" w:rsidRPr="00FB230D" w:rsidRDefault="00FB230D" w:rsidP="00E940B9">
      <w:pPr>
        <w:spacing w:after="0" w:line="276" w:lineRule="auto"/>
        <w:rPr>
          <w:rFonts w:eastAsia="Times New Roman" w:cs="Times New Roman"/>
          <w:b/>
          <w:i/>
        </w:rPr>
      </w:pPr>
      <w:r>
        <w:rPr>
          <w:rFonts w:eastAsia="Times New Roman" w:cs="Times New Roman"/>
          <w:b/>
          <w:i/>
        </w:rPr>
        <w:t>Things to Know If You</w:t>
      </w:r>
      <w:r w:rsidR="00040FD4">
        <w:rPr>
          <w:rFonts w:eastAsia="Times New Roman" w:cs="Times New Roman"/>
          <w:b/>
          <w:i/>
        </w:rPr>
        <w:t xml:space="preserve">r Agency </w:t>
      </w:r>
      <w:r>
        <w:rPr>
          <w:rFonts w:eastAsia="Times New Roman" w:cs="Times New Roman"/>
          <w:b/>
          <w:i/>
        </w:rPr>
        <w:t>Want</w:t>
      </w:r>
      <w:r w:rsidR="00040FD4">
        <w:rPr>
          <w:rFonts w:eastAsia="Times New Roman" w:cs="Times New Roman"/>
          <w:b/>
          <w:i/>
        </w:rPr>
        <w:t>s</w:t>
      </w:r>
      <w:r>
        <w:rPr>
          <w:rFonts w:eastAsia="Times New Roman" w:cs="Times New Roman"/>
          <w:b/>
          <w:i/>
        </w:rPr>
        <w:t xml:space="preserve"> to Use the Master Contract.</w:t>
      </w:r>
      <w:r w:rsidR="00040FD4">
        <w:rPr>
          <w:rFonts w:eastAsia="Times New Roman" w:cs="Times New Roman"/>
          <w:b/>
          <w:i/>
        </w:rPr>
        <w:t xml:space="preserve">  </w:t>
      </w:r>
    </w:p>
    <w:p w:rsidR="00BC33D1" w:rsidRPr="00E940B9" w:rsidRDefault="00BC33D1" w:rsidP="00E940B9">
      <w:pPr>
        <w:spacing w:after="0" w:line="276" w:lineRule="auto"/>
        <w:jc w:val="both"/>
      </w:pPr>
    </w:p>
    <w:p w:rsidR="00BC33D1" w:rsidRPr="00BB196F" w:rsidRDefault="00CF71BD" w:rsidP="00040FD4">
      <w:pPr>
        <w:pStyle w:val="ListParagraph"/>
        <w:numPr>
          <w:ilvl w:val="0"/>
          <w:numId w:val="3"/>
        </w:numPr>
        <w:spacing w:after="0" w:line="276" w:lineRule="auto"/>
        <w:rPr>
          <w:i/>
          <w:u w:val="single"/>
        </w:rPr>
      </w:pPr>
      <w:r>
        <w:rPr>
          <w:rFonts w:eastAsia="Times New Roman" w:cs="Times New Roman"/>
        </w:rPr>
        <w:t>T</w:t>
      </w:r>
      <w:r w:rsidR="00FB230D" w:rsidRPr="00E577A4">
        <w:rPr>
          <w:rFonts w:eastAsia="Times New Roman" w:cs="Times New Roman"/>
        </w:rPr>
        <w:t xml:space="preserve">he </w:t>
      </w:r>
      <w:r w:rsidR="00A5747C">
        <w:rPr>
          <w:rFonts w:eastAsia="Times New Roman" w:cs="Times New Roman"/>
        </w:rPr>
        <w:t>Requestor</w:t>
      </w:r>
      <w:r w:rsidR="00FB230D" w:rsidRPr="00E577A4">
        <w:rPr>
          <w:rFonts w:eastAsia="Times New Roman" w:cs="Times New Roman"/>
        </w:rPr>
        <w:t xml:space="preserve"> u</w:t>
      </w:r>
      <w:r>
        <w:rPr>
          <w:rFonts w:eastAsia="Times New Roman" w:cs="Times New Roman"/>
        </w:rPr>
        <w:t>se</w:t>
      </w:r>
      <w:r w:rsidR="007E5B6E">
        <w:rPr>
          <w:rFonts w:eastAsia="Times New Roman" w:cs="Times New Roman"/>
        </w:rPr>
        <w:t>s</w:t>
      </w:r>
      <w:r w:rsidR="00FB230D" w:rsidRPr="00E577A4">
        <w:rPr>
          <w:rFonts w:eastAsia="Times New Roman" w:cs="Times New Roman"/>
        </w:rPr>
        <w:t xml:space="preserve"> the Master Contract by sub</w:t>
      </w:r>
      <w:r w:rsidR="00FB230D" w:rsidRPr="009A11DE">
        <w:rPr>
          <w:rFonts w:eastAsia="Times New Roman" w:cs="Times New Roman"/>
        </w:rPr>
        <w:t xml:space="preserve">mitting a </w:t>
      </w:r>
      <w:r w:rsidR="00F82309" w:rsidRPr="009A11DE">
        <w:rPr>
          <w:rFonts w:eastAsia="Times New Roman" w:cs="Times New Roman"/>
        </w:rPr>
        <w:t>T</w:t>
      </w:r>
      <w:r w:rsidR="00AF469C" w:rsidRPr="009A11DE">
        <w:rPr>
          <w:rFonts w:eastAsia="Times New Roman" w:cs="Times New Roman"/>
        </w:rPr>
        <w:t>own+Gown</w:t>
      </w:r>
      <w:r w:rsidR="00F82309" w:rsidRPr="009A11DE">
        <w:rPr>
          <w:rFonts w:eastAsia="Times New Roman" w:cs="Times New Roman"/>
        </w:rPr>
        <w:t xml:space="preserve"> RFP</w:t>
      </w:r>
      <w:r w:rsidR="00FB230D" w:rsidRPr="009A11DE">
        <w:rPr>
          <w:rFonts w:eastAsia="Times New Roman" w:cs="Times New Roman"/>
        </w:rPr>
        <w:t xml:space="preserve"> </w:t>
      </w:r>
      <w:r w:rsidR="00AB71C7" w:rsidRPr="009A11DE">
        <w:rPr>
          <w:rFonts w:eastAsia="Times New Roman" w:cs="Times New Roman"/>
        </w:rPr>
        <w:t xml:space="preserve">(See link </w:t>
      </w:r>
      <w:r w:rsidR="009A11DE" w:rsidRPr="009A11DE">
        <w:rPr>
          <w:rFonts w:eastAsia="Times New Roman" w:cs="Times New Roman"/>
        </w:rPr>
        <w:t xml:space="preserve">above </w:t>
      </w:r>
      <w:r w:rsidR="00AB71C7" w:rsidRPr="009A11DE">
        <w:rPr>
          <w:rFonts w:eastAsia="Times New Roman" w:cs="Times New Roman"/>
        </w:rPr>
        <w:t>to T</w:t>
      </w:r>
      <w:r w:rsidR="009A11DE" w:rsidRPr="009A11DE">
        <w:rPr>
          <w:rFonts w:eastAsia="Times New Roman" w:cs="Times New Roman"/>
        </w:rPr>
        <w:t>own</w:t>
      </w:r>
      <w:r w:rsidR="00AB71C7" w:rsidRPr="009A11DE">
        <w:rPr>
          <w:rFonts w:eastAsia="Times New Roman" w:cs="Times New Roman"/>
        </w:rPr>
        <w:t>+G</w:t>
      </w:r>
      <w:r w:rsidR="009A11DE" w:rsidRPr="009A11DE">
        <w:rPr>
          <w:rFonts w:eastAsia="Times New Roman" w:cs="Times New Roman"/>
        </w:rPr>
        <w:t>own</w:t>
      </w:r>
      <w:r w:rsidR="00AB71C7" w:rsidRPr="009A11DE">
        <w:rPr>
          <w:rFonts w:eastAsia="Times New Roman" w:cs="Times New Roman"/>
        </w:rPr>
        <w:t xml:space="preserve"> website for template Town+Gown</w:t>
      </w:r>
      <w:r w:rsidR="00AB71C7">
        <w:rPr>
          <w:rFonts w:eastAsia="Times New Roman" w:cs="Times New Roman"/>
        </w:rPr>
        <w:t xml:space="preserve"> RFP)</w:t>
      </w:r>
      <w:r>
        <w:rPr>
          <w:rFonts w:eastAsia="Times New Roman" w:cs="Times New Roman"/>
        </w:rPr>
        <w:t xml:space="preserve"> </w:t>
      </w:r>
      <w:r w:rsidR="00AF469C">
        <w:rPr>
          <w:rFonts w:eastAsia="Times New Roman" w:cs="Times New Roman"/>
        </w:rPr>
        <w:t xml:space="preserve">for its research project </w:t>
      </w:r>
      <w:r w:rsidR="00FB230D" w:rsidRPr="00E577A4">
        <w:rPr>
          <w:rFonts w:eastAsia="Times New Roman" w:cs="Times New Roman"/>
        </w:rPr>
        <w:t>to DDC</w:t>
      </w:r>
      <w:r w:rsidR="00E577A4" w:rsidRPr="00E577A4">
        <w:rPr>
          <w:rFonts w:eastAsia="Times New Roman" w:cs="Times New Roman"/>
        </w:rPr>
        <w:t>,</w:t>
      </w:r>
      <w:r w:rsidR="00FB230D" w:rsidRPr="00E577A4">
        <w:rPr>
          <w:rFonts w:eastAsia="Times New Roman" w:cs="Times New Roman"/>
        </w:rPr>
        <w:t xml:space="preserve"> as administrator of the Master Contract, for </w:t>
      </w:r>
      <w:r w:rsidR="00AF469C">
        <w:rPr>
          <w:rFonts w:eastAsia="Times New Roman" w:cs="Times New Roman"/>
        </w:rPr>
        <w:t>DDC</w:t>
      </w:r>
      <w:r w:rsidR="00FB230D" w:rsidRPr="00E577A4">
        <w:rPr>
          <w:rFonts w:eastAsia="Times New Roman" w:cs="Times New Roman"/>
        </w:rPr>
        <w:t xml:space="preserve"> to transmit to the </w:t>
      </w:r>
      <w:r w:rsidR="00AF469C">
        <w:rPr>
          <w:rFonts w:eastAsia="Times New Roman" w:cs="Times New Roman"/>
        </w:rPr>
        <w:t>Academic C</w:t>
      </w:r>
      <w:r w:rsidR="00FB230D" w:rsidRPr="00E577A4">
        <w:rPr>
          <w:rFonts w:eastAsia="Times New Roman" w:cs="Times New Roman"/>
        </w:rPr>
        <w:t>onsortium institutions</w:t>
      </w:r>
      <w:r w:rsidR="00AF469C">
        <w:rPr>
          <w:rFonts w:eastAsia="Times New Roman" w:cs="Times New Roman"/>
        </w:rPr>
        <w:t>’ representatives</w:t>
      </w:r>
      <w:r w:rsidR="00FB230D" w:rsidRPr="00E577A4">
        <w:rPr>
          <w:rFonts w:eastAsia="Times New Roman" w:cs="Times New Roman"/>
        </w:rPr>
        <w:t>.</w:t>
      </w:r>
      <w:r w:rsidR="00E577A4" w:rsidRPr="00E577A4">
        <w:rPr>
          <w:rFonts w:eastAsia="Times New Roman" w:cs="Times New Roman"/>
        </w:rPr>
        <w:t xml:space="preserve">  </w:t>
      </w:r>
      <w:r w:rsidR="009A11DE">
        <w:rPr>
          <w:rFonts w:eastAsia="Times New Roman" w:cs="Times New Roman"/>
        </w:rPr>
        <w:t xml:space="preserve">See also </w:t>
      </w:r>
      <w:r w:rsidR="009A11DE">
        <w:rPr>
          <w:i/>
        </w:rPr>
        <w:t>Notification of Intent to Use the Master Contract</w:t>
      </w:r>
      <w:r w:rsidR="009A11DE" w:rsidRPr="00E577A4">
        <w:rPr>
          <w:rFonts w:eastAsia="Times New Roman" w:cs="Times New Roman"/>
        </w:rPr>
        <w:t xml:space="preserve"> </w:t>
      </w:r>
      <w:r w:rsidR="009A11DE" w:rsidRPr="009A11DE">
        <w:rPr>
          <w:rFonts w:eastAsia="Times New Roman" w:cs="Times New Roman"/>
        </w:rPr>
        <w:t>below</w:t>
      </w:r>
      <w:r w:rsidR="009A11DE">
        <w:rPr>
          <w:rFonts w:eastAsia="Times New Roman" w:cs="Times New Roman"/>
        </w:rPr>
        <w:t xml:space="preserve"> in Appendix A to this document</w:t>
      </w:r>
      <w:r w:rsidR="009A11DE">
        <w:rPr>
          <w:rFonts w:eastAsia="Times New Roman" w:cs="Times New Roman"/>
          <w:i/>
        </w:rPr>
        <w:t xml:space="preserve">.  </w:t>
      </w:r>
      <w:r w:rsidR="00E577A4" w:rsidRPr="00E577A4">
        <w:rPr>
          <w:rFonts w:eastAsia="Times New Roman" w:cs="Times New Roman"/>
        </w:rPr>
        <w:t xml:space="preserve">It is important to remember that when the </w:t>
      </w:r>
      <w:r w:rsidR="00A5747C">
        <w:rPr>
          <w:rFonts w:eastAsia="Times New Roman" w:cs="Times New Roman"/>
        </w:rPr>
        <w:t>Requestor</w:t>
      </w:r>
      <w:r w:rsidR="00E577A4" w:rsidRPr="00E577A4">
        <w:rPr>
          <w:rFonts w:eastAsia="Times New Roman" w:cs="Times New Roman"/>
        </w:rPr>
        <w:t xml:space="preserve"> use</w:t>
      </w:r>
      <w:r w:rsidR="00AF469C">
        <w:rPr>
          <w:rFonts w:eastAsia="Times New Roman" w:cs="Times New Roman"/>
        </w:rPr>
        <w:t>s</w:t>
      </w:r>
      <w:r w:rsidR="00AB71C7">
        <w:rPr>
          <w:rFonts w:eastAsia="Times New Roman" w:cs="Times New Roman"/>
        </w:rPr>
        <w:t xml:space="preserve"> </w:t>
      </w:r>
      <w:r w:rsidR="00E577A4" w:rsidRPr="00E577A4">
        <w:rPr>
          <w:rFonts w:eastAsia="Times New Roman" w:cs="Times New Roman"/>
        </w:rPr>
        <w:t xml:space="preserve">the Master Contract, it is the </w:t>
      </w:r>
      <w:r w:rsidR="00A5747C">
        <w:rPr>
          <w:rFonts w:eastAsia="Times New Roman" w:cs="Times New Roman"/>
        </w:rPr>
        <w:t>Requestor</w:t>
      </w:r>
      <w:r w:rsidR="00E577A4" w:rsidRPr="00E577A4">
        <w:rPr>
          <w:rFonts w:eastAsia="Times New Roman" w:cs="Times New Roman"/>
        </w:rPr>
        <w:t>’s procurement and not DDC’s procurement.</w:t>
      </w:r>
      <w:r w:rsidR="00E577A4">
        <w:rPr>
          <w:rFonts w:eastAsia="Times New Roman" w:cs="Times New Roman"/>
        </w:rPr>
        <w:t xml:space="preserve">  Thus, the </w:t>
      </w:r>
      <w:r w:rsidR="00A5747C">
        <w:rPr>
          <w:rFonts w:eastAsia="Times New Roman" w:cs="Times New Roman"/>
        </w:rPr>
        <w:t>Requestor</w:t>
      </w:r>
      <w:r w:rsidR="00E577A4">
        <w:rPr>
          <w:rFonts w:eastAsia="Times New Roman" w:cs="Times New Roman"/>
        </w:rPr>
        <w:t xml:space="preserve">, through its ACCO and agency program staff, controls the development of the </w:t>
      </w:r>
      <w:r w:rsidR="00F82309">
        <w:rPr>
          <w:rFonts w:eastAsia="Times New Roman" w:cs="Times New Roman"/>
        </w:rPr>
        <w:t>T</w:t>
      </w:r>
      <w:r w:rsidR="00AF469C">
        <w:rPr>
          <w:rFonts w:eastAsia="Times New Roman" w:cs="Times New Roman"/>
        </w:rPr>
        <w:t>own</w:t>
      </w:r>
      <w:r w:rsidR="00F82309">
        <w:rPr>
          <w:rFonts w:eastAsia="Times New Roman" w:cs="Times New Roman"/>
        </w:rPr>
        <w:t>+G</w:t>
      </w:r>
      <w:r w:rsidR="00AF469C">
        <w:rPr>
          <w:rFonts w:eastAsia="Times New Roman" w:cs="Times New Roman"/>
        </w:rPr>
        <w:t xml:space="preserve">own </w:t>
      </w:r>
      <w:r w:rsidR="00F82309">
        <w:rPr>
          <w:rFonts w:eastAsia="Times New Roman" w:cs="Times New Roman"/>
        </w:rPr>
        <w:t>RFP</w:t>
      </w:r>
      <w:r w:rsidR="00E577A4">
        <w:rPr>
          <w:rFonts w:eastAsia="Times New Roman" w:cs="Times New Roman"/>
        </w:rPr>
        <w:t xml:space="preserve">, </w:t>
      </w:r>
      <w:r w:rsidR="00E577A4" w:rsidRPr="00D55A57">
        <w:rPr>
          <w:rFonts w:eastAsia="Times New Roman" w:cs="Times New Roman"/>
          <w:i/>
        </w:rPr>
        <w:t xml:space="preserve">like all other </w:t>
      </w:r>
      <w:r>
        <w:rPr>
          <w:rFonts w:eastAsia="Times New Roman" w:cs="Times New Roman"/>
          <w:i/>
        </w:rPr>
        <w:t>Request</w:t>
      </w:r>
      <w:r w:rsidR="005D42C1">
        <w:rPr>
          <w:rFonts w:eastAsia="Times New Roman" w:cs="Times New Roman"/>
          <w:i/>
        </w:rPr>
        <w:t xml:space="preserve">or </w:t>
      </w:r>
      <w:r w:rsidR="00E577A4" w:rsidRPr="00D55A57">
        <w:rPr>
          <w:rFonts w:eastAsia="Times New Roman" w:cs="Times New Roman"/>
          <w:i/>
        </w:rPr>
        <w:t>procurements</w:t>
      </w:r>
      <w:r w:rsidR="00E577A4">
        <w:rPr>
          <w:rFonts w:eastAsia="Times New Roman" w:cs="Times New Roman"/>
        </w:rPr>
        <w:t>.  When</w:t>
      </w:r>
      <w:r>
        <w:rPr>
          <w:rFonts w:eastAsia="Times New Roman" w:cs="Times New Roman"/>
        </w:rPr>
        <w:t xml:space="preserve"> </w:t>
      </w:r>
      <w:r w:rsidR="00E577A4">
        <w:rPr>
          <w:rFonts w:eastAsia="Times New Roman" w:cs="Times New Roman"/>
        </w:rPr>
        <w:t xml:space="preserve">the </w:t>
      </w:r>
      <w:r w:rsidR="00A5747C">
        <w:rPr>
          <w:rFonts w:eastAsia="Times New Roman" w:cs="Times New Roman"/>
        </w:rPr>
        <w:t>Requestor</w:t>
      </w:r>
      <w:r>
        <w:rPr>
          <w:rFonts w:eastAsia="Times New Roman" w:cs="Times New Roman"/>
        </w:rPr>
        <w:t xml:space="preserve"> </w:t>
      </w:r>
      <w:r w:rsidR="00E577A4">
        <w:rPr>
          <w:rFonts w:eastAsia="Times New Roman" w:cs="Times New Roman"/>
        </w:rPr>
        <w:t xml:space="preserve">includes the Office of the Mayor, it is important to know </w:t>
      </w:r>
      <w:r w:rsidR="00D55A57">
        <w:rPr>
          <w:rFonts w:eastAsia="Times New Roman" w:cs="Times New Roman"/>
        </w:rPr>
        <w:t xml:space="preserve">up front </w:t>
      </w:r>
      <w:r w:rsidR="00E577A4">
        <w:rPr>
          <w:rFonts w:eastAsia="Times New Roman" w:cs="Times New Roman"/>
        </w:rPr>
        <w:t xml:space="preserve">that the Office of the Mayor does not, as a matter of policy, </w:t>
      </w:r>
      <w:r w:rsidR="00D55A57">
        <w:rPr>
          <w:rFonts w:eastAsia="Times New Roman" w:cs="Times New Roman"/>
        </w:rPr>
        <w:t xml:space="preserve">handle </w:t>
      </w:r>
      <w:r w:rsidR="00E577A4">
        <w:rPr>
          <w:rFonts w:eastAsia="Times New Roman" w:cs="Times New Roman"/>
        </w:rPr>
        <w:t xml:space="preserve">procurements of this nature and its </w:t>
      </w:r>
      <w:r w:rsidR="00BB196F">
        <w:rPr>
          <w:rFonts w:eastAsia="Times New Roman" w:cs="Times New Roman"/>
        </w:rPr>
        <w:t xml:space="preserve">small </w:t>
      </w:r>
      <w:r w:rsidR="00E577A4">
        <w:rPr>
          <w:rFonts w:eastAsia="Times New Roman" w:cs="Times New Roman"/>
        </w:rPr>
        <w:t xml:space="preserve">ACCO staff generally </w:t>
      </w:r>
      <w:r w:rsidR="00D55A57">
        <w:rPr>
          <w:rFonts w:eastAsia="Times New Roman" w:cs="Times New Roman"/>
        </w:rPr>
        <w:t xml:space="preserve">does not have the capacity </w:t>
      </w:r>
      <w:r w:rsidR="00E577A4">
        <w:rPr>
          <w:rFonts w:eastAsia="Times New Roman" w:cs="Times New Roman"/>
        </w:rPr>
        <w:t>to handle</w:t>
      </w:r>
      <w:r w:rsidR="00BB196F">
        <w:rPr>
          <w:rFonts w:eastAsia="Times New Roman" w:cs="Times New Roman"/>
        </w:rPr>
        <w:t xml:space="preserve"> procurements of this nature.  </w:t>
      </w:r>
      <w:r>
        <w:rPr>
          <w:rFonts w:eastAsia="Times New Roman" w:cs="Times New Roman"/>
          <w:i/>
          <w:u w:val="single"/>
        </w:rPr>
        <w:t>Thus</w:t>
      </w:r>
      <w:r w:rsidR="00DF39DF" w:rsidRPr="00BB196F">
        <w:rPr>
          <w:rFonts w:eastAsia="Times New Roman" w:cs="Times New Roman"/>
          <w:i/>
          <w:u w:val="single"/>
        </w:rPr>
        <w:t>,</w:t>
      </w:r>
      <w:r w:rsidR="00BB196F" w:rsidRPr="00BB196F">
        <w:rPr>
          <w:rFonts w:eastAsia="Times New Roman" w:cs="Times New Roman"/>
          <w:i/>
          <w:u w:val="single"/>
        </w:rPr>
        <w:t xml:space="preserve"> the ACCO</w:t>
      </w:r>
      <w:r w:rsidR="00D55A57">
        <w:rPr>
          <w:rFonts w:eastAsia="Times New Roman" w:cs="Times New Roman"/>
          <w:i/>
          <w:u w:val="single"/>
        </w:rPr>
        <w:t xml:space="preserve"> </w:t>
      </w:r>
      <w:r>
        <w:rPr>
          <w:rFonts w:eastAsia="Times New Roman" w:cs="Times New Roman"/>
          <w:i/>
          <w:u w:val="single"/>
        </w:rPr>
        <w:t xml:space="preserve">office at the city agency </w:t>
      </w:r>
      <w:r w:rsidR="00D55A57">
        <w:rPr>
          <w:rFonts w:eastAsia="Times New Roman" w:cs="Times New Roman"/>
          <w:i/>
          <w:u w:val="single"/>
        </w:rPr>
        <w:t xml:space="preserve">that is part of the </w:t>
      </w:r>
      <w:r w:rsidR="00A5747C">
        <w:rPr>
          <w:rFonts w:eastAsia="Times New Roman" w:cs="Times New Roman"/>
          <w:i/>
          <w:u w:val="single"/>
        </w:rPr>
        <w:t>Requestor</w:t>
      </w:r>
      <w:r w:rsidR="00BB196F" w:rsidRPr="00BB196F">
        <w:rPr>
          <w:rFonts w:eastAsia="Times New Roman" w:cs="Times New Roman"/>
          <w:i/>
          <w:u w:val="single"/>
        </w:rPr>
        <w:t xml:space="preserve"> should assume that it will handle the entire procurement </w:t>
      </w:r>
      <w:r>
        <w:rPr>
          <w:rFonts w:eastAsia="Times New Roman" w:cs="Times New Roman"/>
          <w:i/>
          <w:u w:val="single"/>
        </w:rPr>
        <w:t xml:space="preserve">when </w:t>
      </w:r>
      <w:r w:rsidR="00BB196F" w:rsidRPr="00BB196F">
        <w:rPr>
          <w:rFonts w:eastAsia="Times New Roman" w:cs="Times New Roman"/>
          <w:i/>
          <w:u w:val="single"/>
        </w:rPr>
        <w:t xml:space="preserve">the Office of the Mayor is </w:t>
      </w:r>
      <w:r>
        <w:rPr>
          <w:rFonts w:eastAsia="Times New Roman" w:cs="Times New Roman"/>
          <w:i/>
          <w:u w:val="single"/>
        </w:rPr>
        <w:t xml:space="preserve">also </w:t>
      </w:r>
      <w:r w:rsidR="00BB196F" w:rsidRPr="00BB196F">
        <w:rPr>
          <w:rFonts w:eastAsia="Times New Roman" w:cs="Times New Roman"/>
          <w:i/>
          <w:u w:val="single"/>
        </w:rPr>
        <w:t xml:space="preserve">part of the </w:t>
      </w:r>
      <w:r w:rsidR="00A5747C">
        <w:rPr>
          <w:rFonts w:eastAsia="Times New Roman" w:cs="Times New Roman"/>
          <w:i/>
          <w:u w:val="single"/>
        </w:rPr>
        <w:t>Requestor</w:t>
      </w:r>
      <w:r w:rsidR="00BB196F" w:rsidRPr="00BB196F">
        <w:rPr>
          <w:rFonts w:eastAsia="Times New Roman" w:cs="Times New Roman"/>
          <w:i/>
          <w:u w:val="single"/>
        </w:rPr>
        <w:t>.</w:t>
      </w:r>
      <w:r>
        <w:rPr>
          <w:rFonts w:eastAsia="Times New Roman" w:cs="Times New Roman"/>
          <w:i/>
          <w:u w:val="single"/>
        </w:rPr>
        <w:t xml:space="preserve">  The need to coordinate drafting and review when the Office of the Mayor is part of the </w:t>
      </w:r>
      <w:r w:rsidR="00A5747C">
        <w:rPr>
          <w:rFonts w:eastAsia="Times New Roman" w:cs="Times New Roman"/>
          <w:i/>
          <w:u w:val="single"/>
        </w:rPr>
        <w:t>Requestor</w:t>
      </w:r>
      <w:r>
        <w:rPr>
          <w:rFonts w:eastAsia="Times New Roman" w:cs="Times New Roman"/>
          <w:i/>
          <w:u w:val="single"/>
        </w:rPr>
        <w:t xml:space="preserve"> will have an impact on the 90-day period.</w:t>
      </w:r>
      <w:r w:rsidR="00E577A4" w:rsidRPr="00BB196F">
        <w:rPr>
          <w:rFonts w:eastAsia="Times New Roman" w:cs="Times New Roman"/>
          <w:i/>
          <w:u w:val="single"/>
        </w:rPr>
        <w:t xml:space="preserve"> </w:t>
      </w:r>
    </w:p>
    <w:p w:rsidR="00E577A4" w:rsidRDefault="00E577A4" w:rsidP="00E577A4">
      <w:pPr>
        <w:pStyle w:val="ListParagraph"/>
        <w:spacing w:after="0" w:line="276" w:lineRule="auto"/>
        <w:ind w:left="360"/>
      </w:pPr>
    </w:p>
    <w:p w:rsidR="008035D7" w:rsidRDefault="008035D7" w:rsidP="008035D7">
      <w:pPr>
        <w:pStyle w:val="ListParagraph"/>
        <w:numPr>
          <w:ilvl w:val="0"/>
          <w:numId w:val="3"/>
        </w:numPr>
        <w:spacing w:after="0" w:line="276" w:lineRule="auto"/>
      </w:pPr>
      <w:r>
        <w:t>While the Master Contract refers to “built environment” research, you should know that the</w:t>
      </w:r>
      <w:r w:rsidR="00660446">
        <w:t xml:space="preserve"> concept of the</w:t>
      </w:r>
      <w:r>
        <w:t xml:space="preserve"> “built environment” can be expanded to include all kinds of research projects.  At the minimum, it should relate to something physical (as opposed to metaphysical), but with the advent of the multi-disciplinary “service design” field, which focuses on delivery of services to the user derived from the user’s perspective, much that would not appear to relate to the built environment can be related to it.  Everything that </w:t>
      </w:r>
      <w:r w:rsidR="00CF71BD">
        <w:t>c</w:t>
      </w:r>
      <w:r>
        <w:t>ity agencies do happens in a physical structure or require</w:t>
      </w:r>
      <w:r w:rsidR="00D55A57">
        <w:t>s</w:t>
      </w:r>
      <w:r>
        <w:t xml:space="preserve"> or use</w:t>
      </w:r>
      <w:r w:rsidR="00D55A57">
        <w:t>s</w:t>
      </w:r>
      <w:r>
        <w:t xml:space="preserve"> physical infrastructure in some way. </w:t>
      </w:r>
      <w:r w:rsidR="00CF71BD">
        <w:t xml:space="preserve"> </w:t>
      </w:r>
      <w:r>
        <w:t xml:space="preserve">Until a master academic consortium contract is developed specifically </w:t>
      </w:r>
      <w:r w:rsidR="00CF71BD">
        <w:t>for</w:t>
      </w:r>
      <w:r w:rsidR="00D55A57">
        <w:t xml:space="preserve"> the area of</w:t>
      </w:r>
      <w:r>
        <w:t xml:space="preserve"> human service program delivery, please do not be put off by the use of the term “built environment”—</w:t>
      </w:r>
      <w:r w:rsidR="00CF71BD">
        <w:t xml:space="preserve">it is possible to </w:t>
      </w:r>
      <w:r>
        <w:t>be creative</w:t>
      </w:r>
      <w:r w:rsidR="00D55A57">
        <w:t xml:space="preserve"> to make the Master Contract work for you</w:t>
      </w:r>
      <w:r w:rsidR="00CF71BD">
        <w:t>r agency’s research project</w:t>
      </w:r>
      <w:r w:rsidR="009A11DE">
        <w:t>.</w:t>
      </w:r>
    </w:p>
    <w:p w:rsidR="008035D7" w:rsidRDefault="008035D7" w:rsidP="008035D7">
      <w:pPr>
        <w:pStyle w:val="ListParagraph"/>
      </w:pPr>
    </w:p>
    <w:p w:rsidR="009A11DE" w:rsidRPr="001808FA" w:rsidRDefault="009A11DE" w:rsidP="009A11DE">
      <w:pPr>
        <w:pStyle w:val="ListParagraph"/>
        <w:numPr>
          <w:ilvl w:val="0"/>
          <w:numId w:val="3"/>
        </w:numPr>
        <w:spacing w:after="0" w:line="276" w:lineRule="auto"/>
      </w:pPr>
      <w:r>
        <w:rPr>
          <w:b/>
        </w:rPr>
        <w:t xml:space="preserve">Requestor’s ACCO staff must do the following things </w:t>
      </w:r>
      <w:r w:rsidRPr="0056230A">
        <w:rPr>
          <w:b/>
          <w:i/>
        </w:rPr>
        <w:t>before</w:t>
      </w:r>
      <w:r>
        <w:rPr>
          <w:b/>
        </w:rPr>
        <w:t xml:space="preserve"> t</w:t>
      </w:r>
      <w:r w:rsidRPr="001A705A">
        <w:rPr>
          <w:b/>
        </w:rPr>
        <w:t>he first 30-day period</w:t>
      </w:r>
      <w:r w:rsidRPr="001A705A">
        <w:t xml:space="preserve"> </w:t>
      </w:r>
      <w:r>
        <w:rPr>
          <w:b/>
        </w:rPr>
        <w:t>runs . . .</w:t>
      </w:r>
    </w:p>
    <w:p w:rsidR="009A11DE" w:rsidRDefault="009A11DE" w:rsidP="009A11DE">
      <w:pPr>
        <w:spacing w:after="0" w:line="276" w:lineRule="auto"/>
      </w:pPr>
    </w:p>
    <w:p w:rsidR="009A11DE" w:rsidRDefault="009A11DE" w:rsidP="009A11DE">
      <w:pPr>
        <w:spacing w:after="0" w:line="276" w:lineRule="auto"/>
        <w:ind w:left="720"/>
      </w:pPr>
      <w:r>
        <w:t xml:space="preserve">There are </w:t>
      </w:r>
      <w:r w:rsidRPr="001808FA">
        <w:t xml:space="preserve">items </w:t>
      </w:r>
      <w:r>
        <w:t xml:space="preserve">ACCO staff at the Requestor </w:t>
      </w:r>
      <w:r w:rsidRPr="001808FA">
        <w:t xml:space="preserve">must focus on as soon as possible after program staff has indicated a desire to do academic-based research and during the run-up period to finalizing the Town+Gown RFP:  </w:t>
      </w:r>
    </w:p>
    <w:p w:rsidR="009A11DE" w:rsidRDefault="009A11DE" w:rsidP="009A11DE">
      <w:pPr>
        <w:spacing w:after="0" w:line="276" w:lineRule="auto"/>
        <w:ind w:left="720"/>
      </w:pPr>
    </w:p>
    <w:p w:rsidR="009A11DE" w:rsidRPr="003B6D23" w:rsidRDefault="009A11DE" w:rsidP="009A11DE">
      <w:pPr>
        <w:pStyle w:val="ListParagraph"/>
        <w:numPr>
          <w:ilvl w:val="1"/>
          <w:numId w:val="3"/>
        </w:numPr>
        <w:spacing w:after="0" w:line="276" w:lineRule="auto"/>
      </w:pPr>
      <w:r>
        <w:rPr>
          <w:i/>
        </w:rPr>
        <w:t xml:space="preserve">Notification of Intent to Use the Master Contract.  </w:t>
      </w:r>
      <w:r>
        <w:t>Please use the notification form in Appendix A of this document to notify Town+Gown/DDC (Terri Matthews, Director, Town+Gown (</w:t>
      </w:r>
      <w:hyperlink r:id="rId29" w:history="1">
        <w:r w:rsidRPr="009C12CE">
          <w:rPr>
            <w:rStyle w:val="Hyperlink"/>
          </w:rPr>
          <w:t>matthewte@ddc.nyc.gov</w:t>
        </w:r>
      </w:hyperlink>
      <w:r>
        <w:t xml:space="preserve"> ) or Nicolas Mendoza, DDC ACCO </w:t>
      </w:r>
      <w:r w:rsidRPr="009D7FA3">
        <w:t>(</w:t>
      </w:r>
      <w:hyperlink r:id="rId30" w:history="1">
        <w:r w:rsidR="0056230A" w:rsidRPr="007C5155">
          <w:rPr>
            <w:rStyle w:val="Hyperlink"/>
          </w:rPr>
          <w:t>MendozaNi@ddc.nyc.gov)</w:t>
        </w:r>
      </w:hyperlink>
      <w:r>
        <w:t>)</w:t>
      </w:r>
      <w:r w:rsidR="0056230A">
        <w:t xml:space="preserve"> w</w:t>
      </w:r>
      <w:r>
        <w:t>hen you know that your agency’s program staff is serious about using the Consortium Contract for a Research Project.  If the Research Project is for an amount that is greater than $200,000, please indicate in that notice that your agency either has complied with or will be complying with the requirements of LL 63 (see below) and send a copy of the LL 63 separate notice or disclosure in the annual plan.  If the Research Project is less than $200,000, please indicate such in the notice, and that the requirements of LL 63 do not apply.</w:t>
      </w:r>
    </w:p>
    <w:p w:rsidR="009A11DE" w:rsidRPr="00E23976" w:rsidRDefault="009A11DE" w:rsidP="009A11DE">
      <w:pPr>
        <w:pStyle w:val="ListParagraph"/>
        <w:spacing w:after="0" w:line="276" w:lineRule="auto"/>
        <w:ind w:left="1440"/>
        <w:rPr>
          <w:highlight w:val="darkYellow"/>
        </w:rPr>
      </w:pPr>
    </w:p>
    <w:p w:rsidR="009A11DE" w:rsidRDefault="009A11DE" w:rsidP="0056230A">
      <w:pPr>
        <w:pStyle w:val="ListParagraph"/>
        <w:numPr>
          <w:ilvl w:val="2"/>
          <w:numId w:val="3"/>
        </w:numPr>
        <w:spacing w:after="0" w:line="276" w:lineRule="auto"/>
      </w:pPr>
      <w:r>
        <w:rPr>
          <w:i/>
        </w:rPr>
        <w:t xml:space="preserve">About LL 63.  </w:t>
      </w:r>
      <w:r w:rsidRPr="001808FA">
        <w:t>If the allocated amount</w:t>
      </w:r>
      <w:r>
        <w:t xml:space="preserve"> for the Research Project</w:t>
      </w:r>
      <w:r w:rsidRPr="001808FA">
        <w:t xml:space="preserve"> is greater than $200,000</w:t>
      </w:r>
      <w:r>
        <w:t xml:space="preserve"> and the Requestor did not include a LL 63 disclosure on the agency’s LL 63 annual plan</w:t>
      </w:r>
      <w:r w:rsidRPr="001808FA">
        <w:t xml:space="preserve">, </w:t>
      </w:r>
      <w:r>
        <w:t xml:space="preserve">the Requestor must </w:t>
      </w:r>
      <w:r w:rsidRPr="001808FA">
        <w:t xml:space="preserve">put a notice of the Town+Gown RFP </w:t>
      </w:r>
      <w:r>
        <w:t>in The City Record</w:t>
      </w:r>
      <w:r w:rsidRPr="001808FA">
        <w:t xml:space="preserve"> as soon as program staff is contemplating academic research, so that the required 60-day period can run</w:t>
      </w:r>
      <w:r>
        <w:t xml:space="preserve">.  </w:t>
      </w:r>
      <w:r w:rsidRPr="001808FA">
        <w:t xml:space="preserve">If you </w:t>
      </w:r>
      <w:r>
        <w:t xml:space="preserve">are </w:t>
      </w:r>
      <w:r w:rsidRPr="001808FA">
        <w:t xml:space="preserve">aware of your agency’s </w:t>
      </w:r>
      <w:r>
        <w:t xml:space="preserve">general </w:t>
      </w:r>
      <w:r w:rsidRPr="001808FA">
        <w:t>need for academic research</w:t>
      </w:r>
      <w:r w:rsidR="0056230A">
        <w:t xml:space="preserve"> in any year</w:t>
      </w:r>
      <w:r w:rsidRPr="001808FA">
        <w:t xml:space="preserve">, you can </w:t>
      </w:r>
      <w:r>
        <w:t xml:space="preserve">include LL 63 disclosure on </w:t>
      </w:r>
      <w:r w:rsidRPr="001808FA">
        <w:t xml:space="preserve">your agency’s LL 63 </w:t>
      </w:r>
      <w:r>
        <w:t xml:space="preserve">annual </w:t>
      </w:r>
      <w:r w:rsidRPr="001808FA">
        <w:t>plan on a prospective basis, so this is already in place</w:t>
      </w:r>
      <w:r>
        <w:t>.</w:t>
      </w:r>
      <w:r w:rsidRPr="001808FA">
        <w:t xml:space="preserve"> </w:t>
      </w:r>
    </w:p>
    <w:p w:rsidR="009A11DE" w:rsidRDefault="009A11DE" w:rsidP="009A11DE">
      <w:pPr>
        <w:pStyle w:val="ListParagraph"/>
        <w:spacing w:after="0" w:line="276" w:lineRule="auto"/>
        <w:ind w:left="1440"/>
      </w:pPr>
    </w:p>
    <w:p w:rsidR="009A11DE" w:rsidRPr="001808FA" w:rsidRDefault="009A11DE" w:rsidP="0056230A">
      <w:pPr>
        <w:pStyle w:val="ListParagraph"/>
        <w:numPr>
          <w:ilvl w:val="2"/>
          <w:numId w:val="3"/>
        </w:numPr>
        <w:spacing w:after="0" w:line="276" w:lineRule="auto"/>
      </w:pPr>
      <w:r>
        <w:rPr>
          <w:i/>
        </w:rPr>
        <w:t xml:space="preserve">We Need to See the LL 63 Notice or Disclosure.  </w:t>
      </w:r>
      <w:r>
        <w:t>Please send a copy of your agency’s LL 63 notice or prior disclosure in your agency’s LL63 annual plan to Terri Matthews, Director, Town+Gown</w:t>
      </w:r>
      <w:r w:rsidR="0056230A">
        <w:t xml:space="preserve"> or Nicolas Mendoza, DDC ACCO </w:t>
      </w:r>
      <w:r w:rsidR="0056230A" w:rsidRPr="009D7FA3">
        <w:t>(</w:t>
      </w:r>
      <w:hyperlink r:id="rId31" w:history="1">
        <w:r w:rsidR="0056230A" w:rsidRPr="007C5155">
          <w:rPr>
            <w:rStyle w:val="Hyperlink"/>
          </w:rPr>
          <w:t>MendozaNi@ddc.nyc.gov)</w:t>
        </w:r>
      </w:hyperlink>
      <w:r w:rsidR="0056230A">
        <w:t xml:space="preserve"> as requested in the notification form</w:t>
      </w:r>
      <w:r>
        <w:t>.</w:t>
      </w:r>
    </w:p>
    <w:p w:rsidR="009A11DE" w:rsidRPr="001808FA" w:rsidRDefault="009A11DE" w:rsidP="009A11DE">
      <w:pPr>
        <w:pStyle w:val="ListParagraph"/>
        <w:spacing w:after="0" w:line="276" w:lineRule="auto"/>
        <w:ind w:left="1080"/>
      </w:pPr>
    </w:p>
    <w:p w:rsidR="009A11DE" w:rsidRPr="001808FA" w:rsidRDefault="009A11DE" w:rsidP="009A11DE">
      <w:pPr>
        <w:pStyle w:val="ListParagraph"/>
        <w:numPr>
          <w:ilvl w:val="1"/>
          <w:numId w:val="3"/>
        </w:numPr>
        <w:spacing w:after="0" w:line="276" w:lineRule="auto"/>
      </w:pPr>
      <w:r>
        <w:rPr>
          <w:i/>
        </w:rPr>
        <w:t xml:space="preserve">Notice of Other Things.  </w:t>
      </w:r>
      <w:r w:rsidR="0056230A">
        <w:t xml:space="preserve">The notification form also </w:t>
      </w:r>
      <w:r w:rsidRPr="001808FA">
        <w:t>alert</w:t>
      </w:r>
      <w:r w:rsidR="0056230A">
        <w:t>s</w:t>
      </w:r>
      <w:r w:rsidRPr="001808FA">
        <w:t xml:space="preserve"> </w:t>
      </w:r>
      <w:r w:rsidR="0056230A">
        <w:t>Town+Gown/</w:t>
      </w:r>
      <w:r w:rsidRPr="001808FA">
        <w:t>DDC, as administrator</w:t>
      </w:r>
      <w:r>
        <w:t xml:space="preserve"> of the Master Contract</w:t>
      </w:r>
      <w:r w:rsidRPr="001808FA">
        <w:t>, of the amount</w:t>
      </w:r>
      <w:r>
        <w:t xml:space="preserve"> budgeted/allocated for the Research Project</w:t>
      </w:r>
      <w:r w:rsidRPr="001808FA">
        <w:t xml:space="preserve">, so that </w:t>
      </w:r>
      <w:r w:rsidR="0056230A">
        <w:t>Town+Gown/</w:t>
      </w:r>
      <w:r w:rsidRPr="001808FA">
        <w:t>DDC can</w:t>
      </w:r>
      <w:r>
        <w:t xml:space="preserve"> work with </w:t>
      </w:r>
      <w:r w:rsidRPr="001808FA">
        <w:t>the Comptroller</w:t>
      </w:r>
      <w:r>
        <w:t>’s Office</w:t>
      </w:r>
      <w:r w:rsidR="0056230A">
        <w:t xml:space="preserve"> to assure that</w:t>
      </w:r>
      <w:r w:rsidRPr="001808FA">
        <w:t xml:space="preserve"> all Master Contracts</w:t>
      </w:r>
      <w:r w:rsidR="0056230A">
        <w:t xml:space="preserve"> </w:t>
      </w:r>
      <w:r w:rsidRPr="001808FA">
        <w:t>have sufficient amounts associated with them in FMS to handle an eventual award</w:t>
      </w:r>
      <w:r w:rsidR="0056230A">
        <w:t xml:space="preserve"> along with all other Town+Gown RFPs in the pipeline</w:t>
      </w:r>
      <w:r w:rsidRPr="001808FA">
        <w:t>, which can involve the 30-day waiting period with the Comptroller’s Office.</w:t>
      </w:r>
      <w:r>
        <w:t xml:space="preserve">  If your agency is not listed on the Master Contracts as an authorized user, DDC will need to add your agency in FMS.</w:t>
      </w:r>
    </w:p>
    <w:p w:rsidR="009A11DE" w:rsidRDefault="009A11DE" w:rsidP="009A11DE">
      <w:pPr>
        <w:pStyle w:val="ListParagraph"/>
        <w:ind w:left="360"/>
      </w:pPr>
    </w:p>
    <w:p w:rsidR="009A11DE" w:rsidRDefault="009A11DE" w:rsidP="009A11DE">
      <w:pPr>
        <w:pStyle w:val="ListParagraph"/>
        <w:numPr>
          <w:ilvl w:val="1"/>
          <w:numId w:val="3"/>
        </w:numPr>
        <w:spacing w:after="0" w:line="276" w:lineRule="auto"/>
      </w:pPr>
      <w:r>
        <w:rPr>
          <w:i/>
        </w:rPr>
        <w:t xml:space="preserve">Review of Master Contract Provisions that are Different than Other City Contract Provisions.  </w:t>
      </w:r>
      <w:r>
        <w:t xml:space="preserve">The Master Contract has </w:t>
      </w:r>
      <w:r w:rsidRPr="001A705A">
        <w:t>payment features</w:t>
      </w:r>
      <w:r>
        <w:t xml:space="preserve"> and its own special Appendix A with features that are suitable for </w:t>
      </w:r>
      <w:r w:rsidR="0056230A">
        <w:t xml:space="preserve">faculty-directed </w:t>
      </w:r>
      <w:r>
        <w:t xml:space="preserve">applied academic research and are different than standard </w:t>
      </w:r>
      <w:r w:rsidR="0056230A">
        <w:t xml:space="preserve">contract </w:t>
      </w:r>
      <w:r>
        <w:t xml:space="preserve">provisions, so that you should review them while program staff is working on the project scope and deliverable requirements for the Town+Gown RFP.   Appendix B to this document </w:t>
      </w:r>
      <w:r w:rsidR="0056230A">
        <w:t xml:space="preserve">contains </w:t>
      </w:r>
      <w:r>
        <w:t xml:space="preserve">a summary of important differences between the Master Contract and standard city contracts, which should help with this review. </w:t>
      </w:r>
    </w:p>
    <w:p w:rsidR="009A11DE" w:rsidRDefault="009A11DE" w:rsidP="008035D7">
      <w:pPr>
        <w:pStyle w:val="ListParagraph"/>
      </w:pPr>
    </w:p>
    <w:p w:rsidR="008035D7" w:rsidRDefault="008035D7" w:rsidP="008035D7">
      <w:pPr>
        <w:pStyle w:val="ListParagraph"/>
        <w:numPr>
          <w:ilvl w:val="0"/>
          <w:numId w:val="3"/>
        </w:numPr>
        <w:spacing w:after="0" w:line="276" w:lineRule="auto"/>
      </w:pPr>
      <w:r>
        <w:t xml:space="preserve">The </w:t>
      </w:r>
      <w:r w:rsidR="009624A9">
        <w:t xml:space="preserve">90-day </w:t>
      </w:r>
      <w:r>
        <w:t>process involves:</w:t>
      </w:r>
    </w:p>
    <w:p w:rsidR="008035D7" w:rsidRDefault="008035D7" w:rsidP="008035D7">
      <w:pPr>
        <w:pStyle w:val="ListParagraph"/>
      </w:pPr>
    </w:p>
    <w:p w:rsidR="001A705A" w:rsidRPr="001A705A" w:rsidRDefault="001A705A" w:rsidP="00F23B18">
      <w:pPr>
        <w:pStyle w:val="ListParagraph"/>
        <w:numPr>
          <w:ilvl w:val="1"/>
          <w:numId w:val="3"/>
        </w:numPr>
        <w:spacing w:after="0" w:line="276" w:lineRule="auto"/>
      </w:pPr>
      <w:r w:rsidRPr="001A705A">
        <w:rPr>
          <w:b/>
        </w:rPr>
        <w:t>The first 30-day period</w:t>
      </w:r>
      <w:r w:rsidRPr="001A705A">
        <w:t xml:space="preserve"> </w:t>
      </w:r>
    </w:p>
    <w:p w:rsidR="001A705A" w:rsidRDefault="001A705A" w:rsidP="001A705A">
      <w:pPr>
        <w:pStyle w:val="ListParagraph"/>
        <w:spacing w:after="0" w:line="276" w:lineRule="auto"/>
        <w:ind w:left="1080"/>
      </w:pPr>
    </w:p>
    <w:p w:rsidR="002B4AE4" w:rsidRDefault="00A5747C" w:rsidP="001808FA">
      <w:pPr>
        <w:pStyle w:val="ListParagraph"/>
        <w:spacing w:after="0" w:line="276" w:lineRule="auto"/>
        <w:ind w:left="1080"/>
      </w:pPr>
      <w:r>
        <w:rPr>
          <w:u w:val="single"/>
        </w:rPr>
        <w:t>Requestor</w:t>
      </w:r>
      <w:r w:rsidR="00D34595" w:rsidRPr="009624A9">
        <w:rPr>
          <w:u w:val="single"/>
        </w:rPr>
        <w:t xml:space="preserve"> </w:t>
      </w:r>
      <w:r w:rsidR="008035D7" w:rsidRPr="009624A9">
        <w:rPr>
          <w:u w:val="single"/>
        </w:rPr>
        <w:t>Send</w:t>
      </w:r>
      <w:r w:rsidR="009624A9" w:rsidRPr="009624A9">
        <w:rPr>
          <w:u w:val="single"/>
        </w:rPr>
        <w:t>s</w:t>
      </w:r>
      <w:r w:rsidR="008035D7" w:rsidRPr="009624A9">
        <w:rPr>
          <w:u w:val="single"/>
        </w:rPr>
        <w:t xml:space="preserve"> </w:t>
      </w:r>
      <w:r w:rsidR="00F82309">
        <w:rPr>
          <w:u w:val="single"/>
        </w:rPr>
        <w:t>T</w:t>
      </w:r>
      <w:r w:rsidR="00AF469C">
        <w:rPr>
          <w:u w:val="single"/>
        </w:rPr>
        <w:t>own</w:t>
      </w:r>
      <w:r w:rsidR="00F82309">
        <w:rPr>
          <w:u w:val="single"/>
        </w:rPr>
        <w:t>+G</w:t>
      </w:r>
      <w:r w:rsidR="00AF469C">
        <w:rPr>
          <w:u w:val="single"/>
        </w:rPr>
        <w:t>own</w:t>
      </w:r>
      <w:r w:rsidR="00F82309">
        <w:rPr>
          <w:u w:val="single"/>
        </w:rPr>
        <w:t xml:space="preserve"> RFP</w:t>
      </w:r>
      <w:r w:rsidR="00D34595" w:rsidRPr="009624A9">
        <w:rPr>
          <w:u w:val="single"/>
        </w:rPr>
        <w:t xml:space="preserve"> </w:t>
      </w:r>
      <w:r w:rsidR="008035D7" w:rsidRPr="009624A9">
        <w:rPr>
          <w:u w:val="single"/>
        </w:rPr>
        <w:t>to</w:t>
      </w:r>
      <w:r w:rsidR="0039795A">
        <w:rPr>
          <w:u w:val="single"/>
        </w:rPr>
        <w:t xml:space="preserve"> </w:t>
      </w:r>
      <w:r w:rsidR="0056230A">
        <w:rPr>
          <w:u w:val="single"/>
        </w:rPr>
        <w:t>Town+Gown/</w:t>
      </w:r>
      <w:r w:rsidR="008035D7" w:rsidRPr="009624A9">
        <w:rPr>
          <w:u w:val="single"/>
        </w:rPr>
        <w:t xml:space="preserve">DDC, as </w:t>
      </w:r>
      <w:r w:rsidR="00AC133B">
        <w:rPr>
          <w:u w:val="single"/>
        </w:rPr>
        <w:t>A</w:t>
      </w:r>
      <w:r w:rsidR="00660446">
        <w:rPr>
          <w:u w:val="single"/>
        </w:rPr>
        <w:t xml:space="preserve">dministrator of Master </w:t>
      </w:r>
      <w:r w:rsidR="009624A9" w:rsidRPr="009624A9">
        <w:rPr>
          <w:u w:val="single"/>
        </w:rPr>
        <w:t>Contract</w:t>
      </w:r>
      <w:r w:rsidR="008035D7" w:rsidRPr="009624A9">
        <w:rPr>
          <w:u w:val="single"/>
        </w:rPr>
        <w:t>.</w:t>
      </w:r>
      <w:r w:rsidR="008035D7">
        <w:t xml:space="preserve">  </w:t>
      </w:r>
      <w:r w:rsidR="00D34595">
        <w:t xml:space="preserve">The </w:t>
      </w:r>
      <w:r w:rsidR="00F82309">
        <w:t>T</w:t>
      </w:r>
      <w:r w:rsidR="00AF469C">
        <w:t>own</w:t>
      </w:r>
      <w:r w:rsidR="00F82309">
        <w:t>+G</w:t>
      </w:r>
      <w:r w:rsidR="00AF469C">
        <w:t>o</w:t>
      </w:r>
      <w:r w:rsidR="00AF469C" w:rsidRPr="0056230A">
        <w:t xml:space="preserve">wn </w:t>
      </w:r>
      <w:r w:rsidR="00F82309" w:rsidRPr="0056230A">
        <w:t>RFP</w:t>
      </w:r>
      <w:r w:rsidR="00D34595" w:rsidRPr="0056230A">
        <w:t xml:space="preserve"> is a form document, which is available </w:t>
      </w:r>
      <w:r w:rsidR="00660446" w:rsidRPr="0056230A">
        <w:t xml:space="preserve">at </w:t>
      </w:r>
      <w:r w:rsidR="0056230A" w:rsidRPr="0056230A">
        <w:t xml:space="preserve">the link above </w:t>
      </w:r>
      <w:r w:rsidR="0039795A" w:rsidRPr="0056230A">
        <w:t>to</w:t>
      </w:r>
      <w:r w:rsidR="0056230A" w:rsidRPr="0056230A">
        <w:t xml:space="preserve"> the Town+Gown</w:t>
      </w:r>
      <w:r w:rsidR="00660446" w:rsidRPr="0056230A">
        <w:t xml:space="preserve"> website</w:t>
      </w:r>
      <w:r w:rsidR="00D34595">
        <w:t>.</w:t>
      </w:r>
      <w:r w:rsidR="00074729">
        <w:t xml:space="preserve">  </w:t>
      </w:r>
      <w:r w:rsidR="00D34595">
        <w:t xml:space="preserve"> </w:t>
      </w:r>
      <w:r w:rsidR="008035D7">
        <w:t xml:space="preserve">Most of </w:t>
      </w:r>
      <w:r w:rsidR="00BB196F">
        <w:t xml:space="preserve">what is typically in a standalone </w:t>
      </w:r>
      <w:r w:rsidR="00D34595">
        <w:t xml:space="preserve">solicitation document </w:t>
      </w:r>
      <w:r w:rsidR="001D6792">
        <w:t xml:space="preserve">has already been </w:t>
      </w:r>
      <w:r w:rsidR="00BB196F">
        <w:t xml:space="preserve">handled </w:t>
      </w:r>
      <w:r w:rsidR="008035D7">
        <w:t>in the Master Contract,</w:t>
      </w:r>
      <w:r w:rsidR="00BB196F">
        <w:t xml:space="preserve"> which is referenced in the </w:t>
      </w:r>
      <w:r w:rsidR="00F82309">
        <w:t>T</w:t>
      </w:r>
      <w:r w:rsidR="00AF469C">
        <w:t>own</w:t>
      </w:r>
      <w:r w:rsidR="00F82309">
        <w:t>+G</w:t>
      </w:r>
      <w:r w:rsidR="00AF469C">
        <w:t>own</w:t>
      </w:r>
      <w:r w:rsidR="00F82309">
        <w:t xml:space="preserve"> RFP</w:t>
      </w:r>
      <w:r w:rsidR="00BB196F">
        <w:t xml:space="preserve"> document,</w:t>
      </w:r>
      <w:r w:rsidR="008035D7">
        <w:t xml:space="preserve"> so that the </w:t>
      </w:r>
      <w:r w:rsidR="00F82309">
        <w:t>T</w:t>
      </w:r>
      <w:r w:rsidR="00AF469C">
        <w:t>own</w:t>
      </w:r>
      <w:r w:rsidR="00F82309">
        <w:t>+G</w:t>
      </w:r>
      <w:r w:rsidR="00AF469C">
        <w:t>own</w:t>
      </w:r>
      <w:r w:rsidR="00F82309">
        <w:t xml:space="preserve"> RFP</w:t>
      </w:r>
      <w:r w:rsidR="008035D7">
        <w:t xml:space="preserve"> form </w:t>
      </w:r>
      <w:r w:rsidR="00D34595">
        <w:t xml:space="preserve">allows </w:t>
      </w:r>
      <w:r w:rsidR="006C6FDC">
        <w:t xml:space="preserve">Requestor </w:t>
      </w:r>
      <w:r w:rsidR="00D34595">
        <w:t xml:space="preserve">program </w:t>
      </w:r>
      <w:r w:rsidR="00660446">
        <w:t xml:space="preserve">and ACCO </w:t>
      </w:r>
      <w:r w:rsidR="00D34595">
        <w:t xml:space="preserve">staff to </w:t>
      </w:r>
      <w:r w:rsidR="008035D7">
        <w:t xml:space="preserve">focus on articulating the research need and scope, the deliverables sought and the funds allocated for the work.  </w:t>
      </w:r>
      <w:r w:rsidR="00660446">
        <w:t>W</w:t>
      </w:r>
      <w:r w:rsidR="00AD1FEC">
        <w:t xml:space="preserve">hile </w:t>
      </w:r>
      <w:r w:rsidR="007772F3">
        <w:t>ther</w:t>
      </w:r>
      <w:r w:rsidR="008035D7">
        <w:t xml:space="preserve">e is an ability to change elements of the </w:t>
      </w:r>
      <w:r w:rsidR="00F82309">
        <w:t>T</w:t>
      </w:r>
      <w:r w:rsidR="00AF469C">
        <w:t>own</w:t>
      </w:r>
      <w:r w:rsidR="00F82309">
        <w:t>+G</w:t>
      </w:r>
      <w:r w:rsidR="00AF469C">
        <w:t>own</w:t>
      </w:r>
      <w:r w:rsidR="00F82309">
        <w:t xml:space="preserve"> RFP</w:t>
      </w:r>
      <w:r w:rsidR="008035D7">
        <w:t>, subject to the Master Contract</w:t>
      </w:r>
      <w:r w:rsidR="007772F3">
        <w:t xml:space="preserve"> provisions</w:t>
      </w:r>
      <w:r w:rsidR="008035D7">
        <w:t>, keeping to the form as much as possible helps keep the process</w:t>
      </w:r>
      <w:r w:rsidR="007772F3">
        <w:t xml:space="preserve"> as short as possible from the time your agency decides to procure academic research services</w:t>
      </w:r>
      <w:r w:rsidR="00FF5A90">
        <w:t>, because all template form documents reflect</w:t>
      </w:r>
      <w:r w:rsidR="001808FA">
        <w:t xml:space="preserve"> and work</w:t>
      </w:r>
      <w:r w:rsidR="00FF5A90">
        <w:t xml:space="preserve"> each other.</w:t>
      </w:r>
      <w:r w:rsidR="00BB196F">
        <w:t xml:space="preserve"> </w:t>
      </w:r>
      <w:r w:rsidR="00660446">
        <w:t xml:space="preserve"> </w:t>
      </w:r>
      <w:r w:rsidR="007F40C1">
        <w:t xml:space="preserve">This document, in conjunction with </w:t>
      </w:r>
      <w:r w:rsidR="007F40C1" w:rsidRPr="00445D42">
        <w:t>the</w:t>
      </w:r>
      <w:r w:rsidR="00447AB2">
        <w:t xml:space="preserve"> instructional</w:t>
      </w:r>
      <w:r w:rsidR="007F40C1" w:rsidRPr="00445D42">
        <w:t xml:space="preserve"> memos preceding all template form documents (Town+Gown RFP, Proposal in Response and Task Order)</w:t>
      </w:r>
      <w:r w:rsidR="007F40C1">
        <w:t xml:space="preserve"> that are downloadable at the Town+Gown website (</w:t>
      </w:r>
      <w:r w:rsidR="00447AB2">
        <w:t>available at the Town+Gown website above</w:t>
      </w:r>
      <w:r w:rsidR="007F40C1">
        <w:t>)</w:t>
      </w:r>
      <w:r w:rsidR="00447AB2">
        <w:t>, is intended</w:t>
      </w:r>
      <w:r w:rsidR="007F40C1" w:rsidRPr="00445D42">
        <w:t xml:space="preserve"> to provide Requestors with all the information </w:t>
      </w:r>
      <w:r w:rsidR="007F40C1">
        <w:t xml:space="preserve">they will need to access the Master Contract.  </w:t>
      </w:r>
      <w:r w:rsidR="00447AB2">
        <w:t>Town+Gown/</w:t>
      </w:r>
      <w:r w:rsidR="007F40C1" w:rsidRPr="00445D42">
        <w:t>DDC, as administrator of the Master Contract, is</w:t>
      </w:r>
      <w:r w:rsidR="00447AB2">
        <w:t>, however,</w:t>
      </w:r>
      <w:r w:rsidR="007F40C1" w:rsidRPr="00445D42">
        <w:t xml:space="preserve"> available to provide </w:t>
      </w:r>
      <w:r w:rsidR="007F40C1">
        <w:t xml:space="preserve">additional </w:t>
      </w:r>
      <w:r w:rsidR="007F40C1" w:rsidRPr="00445D42">
        <w:t>guidance</w:t>
      </w:r>
      <w:r w:rsidR="00447AB2">
        <w:t>; if necessary,</w:t>
      </w:r>
      <w:r w:rsidR="007F40C1">
        <w:t xml:space="preserve"> please contact</w:t>
      </w:r>
      <w:r w:rsidR="00447AB2">
        <w:t xml:space="preserve"> Terri Matthews, Director, Town+Gown or Nicolas Mendoza, DDC ACCO </w:t>
      </w:r>
      <w:r w:rsidR="00447AB2" w:rsidRPr="009D7FA3">
        <w:t>(</w:t>
      </w:r>
      <w:hyperlink r:id="rId32" w:history="1">
        <w:r w:rsidR="00447AB2" w:rsidRPr="007C5155">
          <w:rPr>
            <w:rStyle w:val="Hyperlink"/>
          </w:rPr>
          <w:t>MendozaNi@ddc.nyc.gov)</w:t>
        </w:r>
      </w:hyperlink>
      <w:r w:rsidR="007F40C1">
        <w:t>.</w:t>
      </w:r>
    </w:p>
    <w:p w:rsidR="002B4AE4" w:rsidRDefault="002B4AE4" w:rsidP="001A705A">
      <w:pPr>
        <w:pStyle w:val="ListParagraph"/>
        <w:spacing w:after="0" w:line="276" w:lineRule="auto"/>
        <w:ind w:left="1080"/>
      </w:pPr>
    </w:p>
    <w:p w:rsidR="00BB196F" w:rsidRDefault="00FF5A90" w:rsidP="00FF5A90">
      <w:pPr>
        <w:pStyle w:val="ListParagraph"/>
        <w:spacing w:after="0" w:line="276" w:lineRule="auto"/>
        <w:ind w:left="1080"/>
      </w:pPr>
      <w:r>
        <w:t>The Proposal in Response template form document</w:t>
      </w:r>
      <w:r w:rsidRPr="00074729">
        <w:t xml:space="preserve">, </w:t>
      </w:r>
      <w:r w:rsidRPr="001808FA">
        <w:t xml:space="preserve">which is available at </w:t>
      </w:r>
      <w:r w:rsidR="00447AB2">
        <w:t>the Town+Gown website above</w:t>
      </w:r>
      <w:r>
        <w:t xml:space="preserve">, makes clear to the academics completing their Proposal in Response that </w:t>
      </w:r>
      <w:r w:rsidR="00AD1FEC">
        <w:t>they must follow the Proposal in Response form and not make any changes to it because the Proposal in Response fr</w:t>
      </w:r>
      <w:r w:rsidR="00447AB2">
        <w:t>o</w:t>
      </w:r>
      <w:r w:rsidR="00AD1FEC">
        <w:t xml:space="preserve">m the awardee becomes the </w:t>
      </w:r>
      <w:r>
        <w:t xml:space="preserve">basis of the </w:t>
      </w:r>
      <w:r w:rsidR="00AD1FEC">
        <w:t>Task Order to be registered</w:t>
      </w:r>
      <w:r>
        <w:t xml:space="preserve">, which helps keep the process as short as possible.  In addition, since academic institutions are more used to grant programs for faculty-directed research than public procurement of faculty-directed research, the Proposal in Response template form document makes it clear that the </w:t>
      </w:r>
      <w:bookmarkStart w:id="4" w:name="_Hlk516222529"/>
      <w:r>
        <w:t xml:space="preserve">Proposal in Response form is related to a public procurement and not a grant program and that the terms of the Proposal in Response that the </w:t>
      </w:r>
      <w:r w:rsidR="00A5747C">
        <w:t>Requestor</w:t>
      </w:r>
      <w:r>
        <w:t xml:space="preserve"> selects for an award become the terms of the resulting Task Order, subject to further negotiation only as permitted by the city’s </w:t>
      </w:r>
      <w:r w:rsidR="00D83F44">
        <w:t>PPB</w:t>
      </w:r>
      <w:r>
        <w:t xml:space="preserve"> rules</w:t>
      </w:r>
      <w:bookmarkEnd w:id="4"/>
      <w:r>
        <w:t xml:space="preserve">. </w:t>
      </w:r>
    </w:p>
    <w:p w:rsidR="00BB196F" w:rsidRDefault="00BB196F" w:rsidP="001A705A">
      <w:pPr>
        <w:pStyle w:val="ListParagraph"/>
        <w:spacing w:after="0" w:line="276" w:lineRule="auto"/>
        <w:ind w:left="1080"/>
      </w:pPr>
    </w:p>
    <w:p w:rsidR="008035D7" w:rsidRDefault="00447AB2" w:rsidP="001A705A">
      <w:pPr>
        <w:pStyle w:val="ListParagraph"/>
        <w:spacing w:after="0" w:line="276" w:lineRule="auto"/>
        <w:ind w:left="1080"/>
      </w:pPr>
      <w:r>
        <w:t>Town+Gown/</w:t>
      </w:r>
      <w:r w:rsidR="008035D7">
        <w:t xml:space="preserve">DDC </w:t>
      </w:r>
      <w:r w:rsidR="007772F3">
        <w:t xml:space="preserve">will </w:t>
      </w:r>
      <w:r w:rsidR="008035D7">
        <w:t>review</w:t>
      </w:r>
      <w:r w:rsidR="007772F3">
        <w:t xml:space="preserve"> of</w:t>
      </w:r>
      <w:r w:rsidR="008035D7">
        <w:t xml:space="preserve"> the</w:t>
      </w:r>
      <w:r w:rsidR="00FF5A90">
        <w:t xml:space="preserve"> </w:t>
      </w:r>
      <w:r>
        <w:t xml:space="preserve">final </w:t>
      </w:r>
      <w:r w:rsidR="00A5747C">
        <w:t>Requestor</w:t>
      </w:r>
      <w:r w:rsidR="00FF5A90">
        <w:t xml:space="preserve">’s </w:t>
      </w:r>
      <w:r w:rsidR="00F82309">
        <w:t>T</w:t>
      </w:r>
      <w:r w:rsidR="00AF469C">
        <w:t>own</w:t>
      </w:r>
      <w:r w:rsidR="00F82309">
        <w:t>+G</w:t>
      </w:r>
      <w:r w:rsidR="00AF469C">
        <w:t>own</w:t>
      </w:r>
      <w:r w:rsidR="00F82309">
        <w:t xml:space="preserve"> RFP</w:t>
      </w:r>
      <w:r w:rsidR="008035D7">
        <w:t xml:space="preserve"> </w:t>
      </w:r>
      <w:r>
        <w:t xml:space="preserve">submitted to it in order </w:t>
      </w:r>
      <w:r w:rsidR="008035D7">
        <w:t>to make sure it complies with the Master Contract</w:t>
      </w:r>
      <w:r w:rsidR="001808FA">
        <w:t>.</w:t>
      </w:r>
      <w:r w:rsidR="007772F3">
        <w:t xml:space="preserve"> </w:t>
      </w:r>
      <w:r w:rsidR="001808FA">
        <w:t xml:space="preserve"> </w:t>
      </w:r>
      <w:r w:rsidR="007772F3">
        <w:t xml:space="preserve">The </w:t>
      </w:r>
      <w:r w:rsidR="00BB196F">
        <w:t xml:space="preserve">standard </w:t>
      </w:r>
      <w:r w:rsidR="007772F3">
        <w:t xml:space="preserve">policy </w:t>
      </w:r>
      <w:r w:rsidR="00BB196F">
        <w:t xml:space="preserve">is to require a </w:t>
      </w:r>
      <w:r w:rsidR="007772F3">
        <w:t xml:space="preserve">minimum return date </w:t>
      </w:r>
      <w:r w:rsidR="00BB196F">
        <w:t xml:space="preserve">of </w:t>
      </w:r>
      <w:r w:rsidR="007772F3">
        <w:t>30 days from date of release, but under certain circumstances</w:t>
      </w:r>
      <w:r w:rsidR="001808FA">
        <w:t>,</w:t>
      </w:r>
      <w:r w:rsidR="007772F3">
        <w:t xml:space="preserve"> it is possible to have a shorter return period</w:t>
      </w:r>
      <w:r w:rsidR="00BB196F">
        <w:t xml:space="preserve"> or, depending on timing of release during the academic year, it may be necessary to have a longer return period</w:t>
      </w:r>
      <w:r w:rsidR="007772F3">
        <w:t>.</w:t>
      </w:r>
      <w:r w:rsidR="00BB196F">
        <w:t xml:space="preserve">  For example, releasing a </w:t>
      </w:r>
      <w:r w:rsidR="00F82309">
        <w:t>T</w:t>
      </w:r>
      <w:r w:rsidR="00AF469C">
        <w:t>own</w:t>
      </w:r>
      <w:r w:rsidR="00F82309">
        <w:t>+G</w:t>
      </w:r>
      <w:r w:rsidR="00AF469C">
        <w:t>own</w:t>
      </w:r>
      <w:r w:rsidR="00F82309">
        <w:t xml:space="preserve"> RFP</w:t>
      </w:r>
      <w:r w:rsidR="00BB196F">
        <w:t xml:space="preserve"> at the end of a semester, especially at the end of the spring semester, may require a longer return period to accommodate professors being out of town during in-between semester breaks.</w:t>
      </w:r>
      <w:r w:rsidR="007772F3">
        <w:t xml:space="preserve">  </w:t>
      </w:r>
    </w:p>
    <w:p w:rsidR="00AD1FEC" w:rsidRDefault="00AD1FEC" w:rsidP="001A705A">
      <w:pPr>
        <w:pStyle w:val="ListParagraph"/>
        <w:spacing w:after="0" w:line="276" w:lineRule="auto"/>
        <w:ind w:left="1080"/>
      </w:pPr>
    </w:p>
    <w:p w:rsidR="00AD1FEC" w:rsidRDefault="00AD1FEC" w:rsidP="001A705A">
      <w:pPr>
        <w:pStyle w:val="ListParagraph"/>
        <w:spacing w:after="0" w:line="276" w:lineRule="auto"/>
        <w:ind w:left="1080"/>
      </w:pPr>
      <w:r>
        <w:t xml:space="preserve">If the </w:t>
      </w:r>
      <w:r w:rsidR="00A5747C">
        <w:t>Requestor</w:t>
      </w:r>
      <w:r>
        <w:t xml:space="preserve"> uses non-City funds, such as </w:t>
      </w:r>
      <w:r w:rsidR="00447AB2">
        <w:t xml:space="preserve">funds from </w:t>
      </w:r>
      <w:r>
        <w:t xml:space="preserve">any federal or state grant program, the </w:t>
      </w:r>
      <w:r w:rsidR="00A5747C">
        <w:t>Requestor</w:t>
      </w:r>
      <w:r>
        <w:t xml:space="preserve"> needs to be aware that </w:t>
      </w:r>
      <w:r w:rsidR="00D55A57">
        <w:t>the use of non-City funds</w:t>
      </w:r>
      <w:r>
        <w:t xml:space="preserve"> increase the complexity of the </w:t>
      </w:r>
      <w:r w:rsidR="00F82309">
        <w:t>T</w:t>
      </w:r>
      <w:r w:rsidR="00AF469C">
        <w:t>own</w:t>
      </w:r>
      <w:r w:rsidR="00F82309">
        <w:t>+G</w:t>
      </w:r>
      <w:r w:rsidR="00AF469C">
        <w:t>own</w:t>
      </w:r>
      <w:r w:rsidR="00F82309">
        <w:t xml:space="preserve"> RFP</w:t>
      </w:r>
      <w:r>
        <w:t xml:space="preserve"> drafting </w:t>
      </w:r>
      <w:r w:rsidR="00D55A57">
        <w:t xml:space="preserve">and the length of time necessary to draft the </w:t>
      </w:r>
      <w:r w:rsidR="00F82309">
        <w:t>T</w:t>
      </w:r>
      <w:r w:rsidR="00AF469C">
        <w:t>own</w:t>
      </w:r>
      <w:r w:rsidR="00F82309">
        <w:t>+G</w:t>
      </w:r>
      <w:r w:rsidR="00AF469C">
        <w:t>own</w:t>
      </w:r>
      <w:r w:rsidR="00F82309">
        <w:t xml:space="preserve"> RFP</w:t>
      </w:r>
      <w:r>
        <w:t xml:space="preserve"> because oversight agencies, such as OMB, may need to perform their own due diligence process to make sure the use of federal or state grant program funds is appropriate and may need to work with the to create a document, such as a memorandum of understanding, to assure compliance with federal and state grant requirements.  What an oversight agency will require for due diligence and compliance purposes will vary </w:t>
      </w:r>
      <w:r w:rsidR="00D55A57">
        <w:t xml:space="preserve">with </w:t>
      </w:r>
      <w:r>
        <w:t>the grant program</w:t>
      </w:r>
      <w:r w:rsidR="00D55A57">
        <w:t>,</w:t>
      </w:r>
      <w:r>
        <w:t xml:space="preserve"> and there is no way to know how long that process will take, but you need to know that</w:t>
      </w:r>
      <w:r w:rsidR="00D8637A">
        <w:t xml:space="preserve"> use of </w:t>
      </w:r>
      <w:r w:rsidR="00673086">
        <w:t>non-city funds introduces a level of complexity that will add time to the overall process before the 90-day streamlined process clock starts.  Whatever would be required of a stand-alon</w:t>
      </w:r>
      <w:r w:rsidR="00D8637A">
        <w:t>e</w:t>
      </w:r>
      <w:r w:rsidR="00673086">
        <w:t xml:space="preserve"> RFP when non-city funds are introduced apply</w:t>
      </w:r>
      <w:r w:rsidR="00D55A57">
        <w:t xml:space="preserve"> equally</w:t>
      </w:r>
      <w:r w:rsidR="00673086">
        <w:t xml:space="preserve"> to</w:t>
      </w:r>
      <w:r w:rsidR="00D55A57">
        <w:t xml:space="preserve"> the </w:t>
      </w:r>
      <w:r w:rsidR="00673086">
        <w:t xml:space="preserve">Master Contract </w:t>
      </w:r>
      <w:r w:rsidR="00F82309">
        <w:t>T</w:t>
      </w:r>
      <w:r w:rsidR="00AF469C">
        <w:t>own</w:t>
      </w:r>
      <w:r w:rsidR="00F82309">
        <w:t>+G</w:t>
      </w:r>
      <w:r w:rsidR="00AF469C">
        <w:t>own</w:t>
      </w:r>
      <w:r w:rsidR="00F82309">
        <w:t xml:space="preserve"> RFP</w:t>
      </w:r>
      <w:r w:rsidR="00673086">
        <w:t xml:space="preserve"> process.</w:t>
      </w:r>
      <w:r w:rsidR="00447AB2">
        <w:t xml:space="preserve">  </w:t>
      </w:r>
      <w:bookmarkStart w:id="5" w:name="_Hlk516668961"/>
      <w:r w:rsidR="00447AB2">
        <w:t xml:space="preserve">Town+Gown/DDC </w:t>
      </w:r>
      <w:r w:rsidR="006C6FDC">
        <w:t xml:space="preserve">can send </w:t>
      </w:r>
      <w:r w:rsidR="00447AB2">
        <w:t xml:space="preserve">a document </w:t>
      </w:r>
      <w:r w:rsidR="006C6FDC">
        <w:t xml:space="preserve">to </w:t>
      </w:r>
      <w:r w:rsidR="00447AB2">
        <w:t>Requestors</w:t>
      </w:r>
      <w:r w:rsidR="006C6FDC">
        <w:t xml:space="preserve"> to forward to</w:t>
      </w:r>
      <w:r w:rsidR="00447AB2">
        <w:t xml:space="preserve"> OMB that explains the creation of the Master Contract and how it works, especially focusing on the aspects of competition.</w:t>
      </w:r>
      <w:bookmarkEnd w:id="5"/>
    </w:p>
    <w:p w:rsidR="001808FA" w:rsidRDefault="001808FA" w:rsidP="001A705A">
      <w:pPr>
        <w:pStyle w:val="ListParagraph"/>
        <w:spacing w:after="0" w:line="276" w:lineRule="auto"/>
        <w:ind w:left="1080"/>
      </w:pPr>
    </w:p>
    <w:p w:rsidR="001A705A" w:rsidRPr="007F11AA" w:rsidRDefault="001A705A" w:rsidP="001A705A">
      <w:pPr>
        <w:pStyle w:val="ListParagraph"/>
        <w:numPr>
          <w:ilvl w:val="1"/>
          <w:numId w:val="3"/>
        </w:numPr>
        <w:spacing w:after="0" w:line="276" w:lineRule="auto"/>
        <w:rPr>
          <w:u w:val="single"/>
        </w:rPr>
      </w:pPr>
      <w:r w:rsidRPr="007F11AA">
        <w:rPr>
          <w:b/>
        </w:rPr>
        <w:t>The second 30-day period</w:t>
      </w:r>
      <w:r w:rsidRPr="007F11AA">
        <w:rPr>
          <w:u w:val="single"/>
        </w:rPr>
        <w:t xml:space="preserve"> </w:t>
      </w:r>
    </w:p>
    <w:p w:rsidR="001A705A" w:rsidRDefault="001A705A" w:rsidP="001A705A">
      <w:pPr>
        <w:pStyle w:val="ListParagraph"/>
        <w:spacing w:after="0" w:line="276" w:lineRule="auto"/>
        <w:ind w:left="1080"/>
        <w:rPr>
          <w:u w:val="single"/>
        </w:rPr>
      </w:pPr>
    </w:p>
    <w:p w:rsidR="009624A9" w:rsidRPr="001A705A" w:rsidRDefault="00A5747C" w:rsidP="001A705A">
      <w:pPr>
        <w:pStyle w:val="ListParagraph"/>
        <w:spacing w:after="0" w:line="276" w:lineRule="auto"/>
        <w:ind w:left="1080"/>
        <w:rPr>
          <w:u w:val="single"/>
        </w:rPr>
      </w:pPr>
      <w:r>
        <w:rPr>
          <w:u w:val="single"/>
        </w:rPr>
        <w:t>Requestor</w:t>
      </w:r>
      <w:r w:rsidR="007772F3" w:rsidRPr="009624A9">
        <w:rPr>
          <w:u w:val="single"/>
        </w:rPr>
        <w:t xml:space="preserve"> </w:t>
      </w:r>
      <w:r w:rsidR="009624A9" w:rsidRPr="009624A9">
        <w:rPr>
          <w:u w:val="single"/>
        </w:rPr>
        <w:t>Evaluates Proposals in Response</w:t>
      </w:r>
      <w:r w:rsidR="0056230A">
        <w:rPr>
          <w:u w:val="single"/>
        </w:rPr>
        <w:t xml:space="preserve">, </w:t>
      </w:r>
      <w:r w:rsidR="009624A9" w:rsidRPr="009624A9">
        <w:rPr>
          <w:u w:val="single"/>
        </w:rPr>
        <w:t>Awards Task Order</w:t>
      </w:r>
      <w:r w:rsidR="0056230A">
        <w:rPr>
          <w:u w:val="single"/>
        </w:rPr>
        <w:t xml:space="preserve"> and Turns Awarded Proposal in Response into the Task Order</w:t>
      </w:r>
      <w:r w:rsidR="009624A9" w:rsidRPr="009624A9">
        <w:rPr>
          <w:u w:val="single"/>
        </w:rPr>
        <w:t>.</w:t>
      </w:r>
      <w:r w:rsidR="009624A9" w:rsidRPr="009624A9">
        <w:t xml:space="preserve">  </w:t>
      </w:r>
      <w:r w:rsidR="001A705A">
        <w:t xml:space="preserve"> The timing of this phase is within</w:t>
      </w:r>
      <w:r w:rsidR="009624A9">
        <w:t xml:space="preserve"> </w:t>
      </w:r>
      <w:r w:rsidR="00AD1FEC">
        <w:t xml:space="preserve">entirely within the </w:t>
      </w:r>
      <w:r>
        <w:t>Requestor</w:t>
      </w:r>
      <w:r w:rsidR="009624A9">
        <w:t xml:space="preserve">’s control.  </w:t>
      </w:r>
      <w:bookmarkStart w:id="6" w:name="_Hlk516669144"/>
      <w:r w:rsidR="00447AB2">
        <w:t>Both t</w:t>
      </w:r>
      <w:r w:rsidR="009624A9">
        <w:t xml:space="preserve">he Proposal in Response </w:t>
      </w:r>
      <w:r w:rsidR="00447AB2">
        <w:t>and the Task Order are in a combined</w:t>
      </w:r>
      <w:r w:rsidR="009624A9">
        <w:t xml:space="preserve"> </w:t>
      </w:r>
      <w:r w:rsidR="00282CE7">
        <w:t xml:space="preserve">template </w:t>
      </w:r>
      <w:r w:rsidR="009624A9">
        <w:t>form document</w:t>
      </w:r>
      <w:r w:rsidR="00447AB2">
        <w:t xml:space="preserve"> that is </w:t>
      </w:r>
      <w:r w:rsidR="009624A9">
        <w:t>Appendix C to the Master Contract</w:t>
      </w:r>
      <w:r w:rsidR="00447AB2">
        <w:t>, which was</w:t>
      </w:r>
      <w:r w:rsidR="001A705A">
        <w:t xml:space="preserve"> created </w:t>
      </w:r>
      <w:r w:rsidR="00447AB2">
        <w:t>to ensure process speed</w:t>
      </w:r>
      <w:r w:rsidR="009624A9">
        <w:t>—there is no need</w:t>
      </w:r>
      <w:r w:rsidR="00447AB2">
        <w:t xml:space="preserve"> for the Requestor</w:t>
      </w:r>
      <w:r w:rsidR="009624A9">
        <w:t xml:space="preserve"> to create </w:t>
      </w:r>
      <w:r w:rsidR="00447AB2">
        <w:t>its own</w:t>
      </w:r>
      <w:r w:rsidR="009624A9">
        <w:t xml:space="preserve"> task order </w:t>
      </w:r>
      <w:r w:rsidR="00C01FB1">
        <w:t xml:space="preserve">document </w:t>
      </w:r>
      <w:r w:rsidR="00282CE7">
        <w:t>as the Task Order</w:t>
      </w:r>
      <w:r w:rsidR="00447AB2">
        <w:t>.</w:t>
      </w:r>
      <w:r w:rsidR="00673086">
        <w:t xml:space="preserve"> </w:t>
      </w:r>
      <w:bookmarkStart w:id="7" w:name="_Hlk516492167"/>
      <w:r w:rsidR="00447AB2">
        <w:t xml:space="preserve"> </w:t>
      </w:r>
      <w:r w:rsidR="00074729" w:rsidRPr="00074729">
        <w:rPr>
          <w:rFonts w:cstheme="minorHAnsi"/>
        </w:rPr>
        <w:t>The Proposal in Response and the resulting Task Order must be in the form of Appendix C to the Master Contract</w:t>
      </w:r>
      <w:r w:rsidR="00447AB2">
        <w:rPr>
          <w:rFonts w:cstheme="minorHAnsi"/>
        </w:rPr>
        <w:t>.</w:t>
      </w:r>
      <w:r w:rsidR="00074729" w:rsidRPr="00074729">
        <w:rPr>
          <w:rFonts w:cstheme="minorHAnsi"/>
        </w:rPr>
        <w:t xml:space="preserve"> </w:t>
      </w:r>
      <w:r w:rsidR="00447AB2">
        <w:rPr>
          <w:rFonts w:cstheme="minorHAnsi"/>
        </w:rPr>
        <w:t xml:space="preserve"> </w:t>
      </w:r>
      <w:r w:rsidR="00074729" w:rsidRPr="00074729">
        <w:rPr>
          <w:rFonts w:cstheme="minorHAnsi"/>
        </w:rPr>
        <w:t xml:space="preserve">Town+Gown/DDC has turned </w:t>
      </w:r>
      <w:r w:rsidR="00447AB2">
        <w:rPr>
          <w:rFonts w:cstheme="minorHAnsi"/>
        </w:rPr>
        <w:t xml:space="preserve">Appendix C documents </w:t>
      </w:r>
      <w:r w:rsidR="00074729" w:rsidRPr="00074729">
        <w:rPr>
          <w:rFonts w:cstheme="minorHAnsi"/>
        </w:rPr>
        <w:t>into separate</w:t>
      </w:r>
      <w:r w:rsidR="00447AB2">
        <w:rPr>
          <w:rFonts w:cstheme="minorHAnsi"/>
        </w:rPr>
        <w:t xml:space="preserve"> Proposal in Response and Task Order</w:t>
      </w:r>
      <w:r w:rsidR="00074729" w:rsidRPr="00074729">
        <w:rPr>
          <w:rFonts w:cstheme="minorHAnsi"/>
        </w:rPr>
        <w:t xml:space="preserve"> forms </w:t>
      </w:r>
      <w:r w:rsidR="00447AB2">
        <w:rPr>
          <w:rFonts w:cstheme="minorHAnsi"/>
        </w:rPr>
        <w:t>that co</w:t>
      </w:r>
      <w:r w:rsidR="00034F92">
        <w:rPr>
          <w:rFonts w:cstheme="minorHAnsi"/>
        </w:rPr>
        <w:t>nform</w:t>
      </w:r>
      <w:r w:rsidR="00447AB2">
        <w:rPr>
          <w:rFonts w:cstheme="minorHAnsi"/>
        </w:rPr>
        <w:t xml:space="preserve"> with Appendix C and </w:t>
      </w:r>
      <w:r w:rsidR="00074729" w:rsidRPr="00074729">
        <w:rPr>
          <w:rFonts w:cstheme="minorHAnsi"/>
        </w:rPr>
        <w:t>available at the Town+Gown website a</w:t>
      </w:r>
      <w:r w:rsidR="00447AB2">
        <w:rPr>
          <w:rFonts w:cstheme="minorHAnsi"/>
        </w:rPr>
        <w:t>bove</w:t>
      </w:r>
      <w:r w:rsidR="00074729" w:rsidRPr="00074729">
        <w:rPr>
          <w:rFonts w:cstheme="minorHAnsi"/>
        </w:rPr>
        <w:t>.</w:t>
      </w:r>
      <w:bookmarkEnd w:id="6"/>
      <w:r w:rsidR="00074729" w:rsidRPr="00074729">
        <w:rPr>
          <w:rFonts w:cstheme="minorHAnsi"/>
        </w:rPr>
        <w:t xml:space="preserve">  </w:t>
      </w:r>
      <w:r w:rsidR="00074729" w:rsidRPr="00074729">
        <w:t xml:space="preserve">This document and the </w:t>
      </w:r>
      <w:r w:rsidR="00131DFB">
        <w:t xml:space="preserve">instruction </w:t>
      </w:r>
      <w:r w:rsidR="00074729" w:rsidRPr="00074729">
        <w:t>memos preceding all template documents are intended to provide all of the information your agency’s ACCO staff will need to create a Proposal in Response that conforms to the Master Contract and to turn the awarded Proposal in Response</w:t>
      </w:r>
      <w:r w:rsidR="00034F92">
        <w:t xml:space="preserve"> that also conforms</w:t>
      </w:r>
      <w:r w:rsidR="00074729" w:rsidRPr="00074729">
        <w:t xml:space="preserve"> into a Task Order to be to be registered with the Comptroller’s Office.  If</w:t>
      </w:r>
      <w:r w:rsidR="00131DFB">
        <w:t>, however,</w:t>
      </w:r>
      <w:r w:rsidR="00074729" w:rsidRPr="00074729">
        <w:t xml:space="preserve"> you have additional questions or require clarification, please contact</w:t>
      </w:r>
      <w:r w:rsidR="00131DFB">
        <w:t xml:space="preserve"> Terri Matthews, Director, Town+Gown or Nicolas Mendoza, DDC ACCO </w:t>
      </w:r>
      <w:r w:rsidR="00131DFB" w:rsidRPr="009D7FA3">
        <w:t>(</w:t>
      </w:r>
      <w:hyperlink r:id="rId33" w:history="1">
        <w:r w:rsidR="00131DFB" w:rsidRPr="007C5155">
          <w:rPr>
            <w:rStyle w:val="Hyperlink"/>
          </w:rPr>
          <w:t>MendozaNi@ddc.nyc.gov)</w:t>
        </w:r>
      </w:hyperlink>
      <w:r w:rsidR="00131DFB">
        <w:t>.</w:t>
      </w:r>
      <w:r w:rsidR="00673086">
        <w:t xml:space="preserve">  There can be no creativity permitted in </w:t>
      </w:r>
      <w:r w:rsidR="00074729">
        <w:t>the Proposal in R</w:t>
      </w:r>
      <w:r w:rsidR="00673086">
        <w:t xml:space="preserve">esponse from the </w:t>
      </w:r>
      <w:r w:rsidR="00074729">
        <w:t>Consultants</w:t>
      </w:r>
      <w:r w:rsidR="00673086">
        <w:t>.</w:t>
      </w:r>
      <w:r w:rsidR="00181543">
        <w:t xml:space="preserve">  </w:t>
      </w:r>
      <w:bookmarkEnd w:id="7"/>
    </w:p>
    <w:p w:rsidR="009624A9" w:rsidRDefault="009624A9" w:rsidP="007772F3">
      <w:pPr>
        <w:spacing w:after="0" w:line="276" w:lineRule="auto"/>
      </w:pPr>
    </w:p>
    <w:p w:rsidR="002B3602" w:rsidRPr="007F11AA" w:rsidRDefault="002B3602" w:rsidP="00282CE7">
      <w:pPr>
        <w:pStyle w:val="ListParagraph"/>
        <w:spacing w:after="0" w:line="276" w:lineRule="auto"/>
        <w:ind w:left="1080"/>
      </w:pPr>
      <w:r w:rsidRPr="007F11AA">
        <w:t xml:space="preserve">Items </w:t>
      </w:r>
      <w:r w:rsidR="00282CE7">
        <w:t>Requestors</w:t>
      </w:r>
      <w:r w:rsidRPr="007F11AA">
        <w:t xml:space="preserve"> must remember to do at the Task Order level</w:t>
      </w:r>
      <w:r w:rsidR="007F11AA">
        <w:t>:</w:t>
      </w:r>
      <w:r w:rsidRPr="007F11AA">
        <w:t xml:space="preserve">  </w:t>
      </w:r>
    </w:p>
    <w:p w:rsidR="002B3602" w:rsidRPr="001A705A" w:rsidRDefault="002B3602" w:rsidP="001A705A">
      <w:pPr>
        <w:pStyle w:val="ListParagraph"/>
        <w:spacing w:after="0"/>
      </w:pPr>
    </w:p>
    <w:p w:rsidR="00164916" w:rsidRDefault="002B3602" w:rsidP="00282CE7">
      <w:pPr>
        <w:numPr>
          <w:ilvl w:val="0"/>
          <w:numId w:val="7"/>
        </w:numPr>
        <w:spacing w:after="0" w:line="240" w:lineRule="auto"/>
        <w:ind w:left="1440"/>
      </w:pPr>
      <w:r w:rsidRPr="000C401D">
        <w:t xml:space="preserve">Each </w:t>
      </w:r>
      <w:r w:rsidR="00282CE7">
        <w:t xml:space="preserve">Requestor </w:t>
      </w:r>
      <w:r w:rsidRPr="000C401D">
        <w:t>agency awarding a Task Order will be responsible for registering the Task Order with the Comptroller under FMS code CTA1</w:t>
      </w:r>
      <w:r w:rsidR="00413B4B">
        <w:t xml:space="preserve">, which the </w:t>
      </w:r>
      <w:r w:rsidR="00282CE7">
        <w:t xml:space="preserve">Requestor </w:t>
      </w:r>
      <w:r w:rsidR="00413B4B">
        <w:t>agency must also complete in FMS</w:t>
      </w:r>
      <w:r w:rsidRPr="000C401D">
        <w:t>.</w:t>
      </w:r>
      <w:r w:rsidR="00F05732">
        <w:t xml:space="preserve"> </w:t>
      </w:r>
    </w:p>
    <w:p w:rsidR="00164916" w:rsidRDefault="00164916" w:rsidP="00282CE7">
      <w:pPr>
        <w:spacing w:after="0" w:line="240" w:lineRule="auto"/>
        <w:ind w:left="1440"/>
      </w:pPr>
    </w:p>
    <w:p w:rsidR="00164916" w:rsidRDefault="00164916" w:rsidP="00282CE7">
      <w:pPr>
        <w:numPr>
          <w:ilvl w:val="0"/>
          <w:numId w:val="7"/>
        </w:numPr>
        <w:spacing w:after="0" w:line="240" w:lineRule="auto"/>
        <w:ind w:left="1440"/>
      </w:pPr>
      <w:r>
        <w:t>The FMS registration numbers for all Master</w:t>
      </w:r>
      <w:r w:rsidR="00282CE7">
        <w:t xml:space="preserve"> Contracts are below:</w:t>
      </w:r>
    </w:p>
    <w:p w:rsidR="00164916" w:rsidRDefault="00164916" w:rsidP="00282CE7">
      <w:pPr>
        <w:spacing w:after="0" w:line="240" w:lineRule="auto"/>
        <w:ind w:left="1440"/>
      </w:pPr>
    </w:p>
    <w:tbl>
      <w:tblPr>
        <w:tblW w:w="5560" w:type="dxa"/>
        <w:tblInd w:w="2042" w:type="dxa"/>
        <w:tblCellMar>
          <w:left w:w="0" w:type="dxa"/>
          <w:right w:w="0" w:type="dxa"/>
        </w:tblCellMar>
        <w:tblLook w:val="04A0" w:firstRow="1" w:lastRow="0" w:firstColumn="1" w:lastColumn="0" w:noHBand="0" w:noVBand="1"/>
      </w:tblPr>
      <w:tblGrid>
        <w:gridCol w:w="3620"/>
        <w:gridCol w:w="1940"/>
      </w:tblGrid>
      <w:tr w:rsidR="00164916" w:rsidTr="00C24AD6">
        <w:trPr>
          <w:trHeight w:val="552"/>
        </w:trPr>
        <w:tc>
          <w:tcPr>
            <w:tcW w:w="362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64916" w:rsidRDefault="00164916" w:rsidP="00040FD4">
            <w:pPr>
              <w:spacing w:after="0" w:line="240" w:lineRule="auto"/>
              <w:jc w:val="center"/>
              <w:rPr>
                <w:rFonts w:ascii="Arial" w:hAnsi="Arial" w:cs="Arial"/>
                <w:b/>
                <w:bCs/>
                <w:color w:val="000000"/>
              </w:rPr>
            </w:pPr>
            <w:r>
              <w:rPr>
                <w:rFonts w:ascii="Arial" w:hAnsi="Arial" w:cs="Arial"/>
                <w:b/>
                <w:bCs/>
                <w:color w:val="000000"/>
              </w:rPr>
              <w:t xml:space="preserve">Vendor </w:t>
            </w:r>
          </w:p>
        </w:tc>
        <w:tc>
          <w:tcPr>
            <w:tcW w:w="19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164916" w:rsidRDefault="00164916" w:rsidP="00040FD4">
            <w:pPr>
              <w:spacing w:after="0" w:line="240" w:lineRule="auto"/>
              <w:jc w:val="center"/>
              <w:rPr>
                <w:rFonts w:ascii="Arial" w:hAnsi="Arial" w:cs="Arial"/>
                <w:b/>
                <w:bCs/>
                <w:color w:val="000000"/>
              </w:rPr>
            </w:pPr>
            <w:r>
              <w:rPr>
                <w:rFonts w:ascii="Arial" w:hAnsi="Arial" w:cs="Arial"/>
                <w:b/>
                <w:bCs/>
                <w:color w:val="000000"/>
              </w:rPr>
              <w:t>MMA1</w:t>
            </w:r>
          </w:p>
        </w:tc>
      </w:tr>
      <w:tr w:rsidR="00164916" w:rsidRPr="00B95F31" w:rsidTr="00C24AD6">
        <w:trPr>
          <w:trHeight w:val="312"/>
        </w:trPr>
        <w:tc>
          <w:tcPr>
            <w:tcW w:w="3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64916" w:rsidRPr="00B95F31" w:rsidRDefault="00164916" w:rsidP="00040FD4">
            <w:pPr>
              <w:spacing w:after="0" w:line="240" w:lineRule="auto"/>
              <w:rPr>
                <w:rFonts w:cs="Arial"/>
                <w:color w:val="000000"/>
              </w:rPr>
            </w:pPr>
            <w:r w:rsidRPr="00B95F31">
              <w:rPr>
                <w:rFonts w:cs="Arial"/>
                <w:color w:val="000000"/>
              </w:rPr>
              <w:t>Brooklyn Law School</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20156201502</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The Cooper Union</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64916" w:rsidRPr="00B95F31" w:rsidRDefault="00164916" w:rsidP="00040FD4">
            <w:pPr>
              <w:spacing w:after="0" w:line="240" w:lineRule="auto"/>
              <w:jc w:val="right"/>
              <w:rPr>
                <w:rFonts w:cs="Arial"/>
                <w:color w:val="000000"/>
              </w:rPr>
            </w:pPr>
            <w:r w:rsidRPr="00B95F31">
              <w:rPr>
                <w:rFonts w:cs="Arial"/>
                <w:color w:val="000000"/>
              </w:rPr>
              <w:t>20166200107</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Drexel University</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64916" w:rsidRPr="00B95F31" w:rsidRDefault="00164916" w:rsidP="00040FD4">
            <w:pPr>
              <w:spacing w:after="0" w:line="240" w:lineRule="auto"/>
              <w:jc w:val="right"/>
              <w:rPr>
                <w:rFonts w:cs="Arial"/>
                <w:color w:val="000000"/>
              </w:rPr>
            </w:pPr>
            <w:r w:rsidRPr="00B95F31">
              <w:rPr>
                <w:rFonts w:cs="Arial"/>
                <w:color w:val="000000"/>
              </w:rPr>
              <w:t>20156201606</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Fordham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20146201444</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Manhattan College</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20146201441</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The New School</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20166200106</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New York Institute of Technology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20146201445</w:t>
            </w:r>
          </w:p>
        </w:tc>
      </w:tr>
      <w:tr w:rsidR="00164916" w:rsidRPr="00B95F31" w:rsidTr="00C24AD6">
        <w:trPr>
          <w:trHeight w:val="288"/>
        </w:trPr>
        <w:tc>
          <w:tcPr>
            <w:tcW w:w="362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64916" w:rsidRPr="00B95F31" w:rsidRDefault="00164916" w:rsidP="00040FD4">
            <w:pPr>
              <w:spacing w:after="0" w:line="240" w:lineRule="auto"/>
              <w:rPr>
                <w:rFonts w:cs="Arial"/>
              </w:rPr>
            </w:pPr>
            <w:r w:rsidRPr="00B95F31">
              <w:rPr>
                <w:rFonts w:cs="Arial"/>
              </w:rPr>
              <w:t>Pratt Institute</w:t>
            </w:r>
          </w:p>
        </w:tc>
        <w:tc>
          <w:tcPr>
            <w:tcW w:w="194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164916" w:rsidRPr="00B95F31" w:rsidRDefault="00164916" w:rsidP="00040FD4">
            <w:pPr>
              <w:spacing w:after="0" w:line="240" w:lineRule="auto"/>
              <w:jc w:val="right"/>
              <w:rPr>
                <w:rFonts w:cs="Arial"/>
                <w:color w:val="000000"/>
              </w:rPr>
            </w:pPr>
            <w:r w:rsidRPr="00B95F31">
              <w:rPr>
                <w:rFonts w:cs="Arial"/>
                <w:color w:val="000000"/>
              </w:rPr>
              <w:t>20156201501</w:t>
            </w:r>
          </w:p>
        </w:tc>
      </w:tr>
      <w:tr w:rsidR="00164916" w:rsidRPr="00B95F31" w:rsidTr="00C24AD6">
        <w:trPr>
          <w:trHeight w:val="144"/>
        </w:trPr>
        <w:tc>
          <w:tcPr>
            <w:tcW w:w="3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Tufts University</w:t>
            </w:r>
          </w:p>
        </w:tc>
        <w:tc>
          <w:tcPr>
            <w:tcW w:w="19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20156201503</w:t>
            </w:r>
          </w:p>
        </w:tc>
      </w:tr>
      <w:tr w:rsidR="00164916" w:rsidRPr="00B95F31" w:rsidTr="00C24AD6">
        <w:trPr>
          <w:trHeight w:val="312"/>
        </w:trPr>
        <w:tc>
          <w:tcPr>
            <w:tcW w:w="362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State University of New York</w:t>
            </w:r>
          </w:p>
        </w:tc>
        <w:tc>
          <w:tcPr>
            <w:tcW w:w="19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20166200091</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New York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20146201446</w:t>
            </w:r>
          </w:p>
        </w:tc>
      </w:tr>
      <w:tr w:rsidR="00164916"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Pace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20146201443</w:t>
            </w:r>
          </w:p>
        </w:tc>
      </w:tr>
      <w:tr w:rsidR="00282CE7"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2CE7" w:rsidRPr="00B95F31" w:rsidRDefault="00282CE7" w:rsidP="00040FD4">
            <w:pPr>
              <w:spacing w:after="0" w:line="240" w:lineRule="auto"/>
              <w:rPr>
                <w:rFonts w:cs="Arial"/>
              </w:rPr>
            </w:pPr>
            <w:r w:rsidRPr="00B95F31">
              <w:rPr>
                <w:rFonts w:cs="Arial"/>
                <w:color w:val="000000"/>
              </w:rPr>
              <w:t>City University of New York</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2CE7" w:rsidRPr="00B95F31" w:rsidRDefault="00282CE7" w:rsidP="00040FD4">
            <w:pPr>
              <w:spacing w:after="0" w:line="240" w:lineRule="auto"/>
              <w:jc w:val="right"/>
              <w:rPr>
                <w:rFonts w:cs="Arial"/>
              </w:rPr>
            </w:pPr>
            <w:r w:rsidRPr="00B95F31">
              <w:rPr>
                <w:rFonts w:cs="Arial"/>
              </w:rPr>
              <w:t>20146201442</w:t>
            </w:r>
          </w:p>
        </w:tc>
      </w:tr>
      <w:tr w:rsidR="00282CE7" w:rsidRPr="00B95F31" w:rsidTr="00C24AD6">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2CE7" w:rsidRPr="00B95F31" w:rsidRDefault="00282CE7" w:rsidP="00040FD4">
            <w:pPr>
              <w:spacing w:after="0" w:line="240" w:lineRule="auto"/>
              <w:rPr>
                <w:rFonts w:cs="Arial"/>
              </w:rPr>
            </w:pPr>
            <w:r w:rsidRPr="00B95F31">
              <w:rPr>
                <w:rFonts w:cs="Arial"/>
              </w:rPr>
              <w:t>Trustees of Columbia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2CE7" w:rsidRPr="00B95F31" w:rsidRDefault="00282CE7" w:rsidP="00040FD4">
            <w:pPr>
              <w:spacing w:after="0" w:line="240" w:lineRule="auto"/>
              <w:jc w:val="right"/>
              <w:rPr>
                <w:rFonts w:cs="Arial"/>
              </w:rPr>
            </w:pPr>
            <w:r w:rsidRPr="00B95F31">
              <w:rPr>
                <w:rFonts w:cs="Arial"/>
              </w:rPr>
              <w:t>20176200751</w:t>
            </w:r>
          </w:p>
        </w:tc>
      </w:tr>
      <w:tr w:rsidR="00164916" w:rsidRPr="00B95F31" w:rsidTr="00C24AD6">
        <w:trPr>
          <w:trHeight w:val="312"/>
        </w:trPr>
        <w:tc>
          <w:tcPr>
            <w:tcW w:w="3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rPr>
                <w:rFonts w:cs="Arial"/>
              </w:rPr>
            </w:pPr>
            <w:r w:rsidRPr="00B95F31">
              <w:rPr>
                <w:rFonts w:cs="Arial"/>
              </w:rPr>
              <w:t>Cornell University</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64916" w:rsidRPr="00B95F31" w:rsidRDefault="00164916" w:rsidP="00040FD4">
            <w:pPr>
              <w:spacing w:after="0" w:line="240" w:lineRule="auto"/>
              <w:jc w:val="right"/>
              <w:rPr>
                <w:rFonts w:cs="Arial"/>
              </w:rPr>
            </w:pPr>
            <w:r w:rsidRPr="00B95F31">
              <w:rPr>
                <w:rFonts w:cs="Arial"/>
              </w:rPr>
              <w:t>20176200781</w:t>
            </w:r>
          </w:p>
        </w:tc>
      </w:tr>
    </w:tbl>
    <w:p w:rsidR="00164916" w:rsidRDefault="00164916" w:rsidP="00164916">
      <w:pPr>
        <w:spacing w:after="0" w:line="240" w:lineRule="auto"/>
        <w:ind w:left="2160"/>
      </w:pPr>
    </w:p>
    <w:p w:rsidR="00164916" w:rsidRDefault="00164916" w:rsidP="00164916">
      <w:pPr>
        <w:spacing w:after="0" w:line="240" w:lineRule="auto"/>
        <w:ind w:left="2160"/>
      </w:pPr>
    </w:p>
    <w:p w:rsidR="00C24AD6" w:rsidRPr="00C24AD6" w:rsidRDefault="00F05732" w:rsidP="00C24AD6">
      <w:pPr>
        <w:pStyle w:val="ListParagraph"/>
        <w:numPr>
          <w:ilvl w:val="0"/>
          <w:numId w:val="14"/>
        </w:numPr>
        <w:spacing w:after="0" w:line="276" w:lineRule="auto"/>
      </w:pPr>
      <w:r>
        <w:t xml:space="preserve">The Master Contracts have been registered so that </w:t>
      </w:r>
      <w:r w:rsidR="00DF3324" w:rsidRPr="00C24AD6">
        <w:rPr>
          <w:rFonts w:ascii="Calibri" w:eastAsia="Times New Roman" w:hAnsi="Calibri" w:cs="Times New Roman"/>
        </w:rPr>
        <w:t>DEP</w:t>
      </w:r>
      <w:r w:rsidR="008752E6" w:rsidRPr="00C24AD6">
        <w:rPr>
          <w:rFonts w:ascii="Calibri" w:eastAsia="Times New Roman" w:hAnsi="Calibri" w:cs="Times New Roman"/>
        </w:rPr>
        <w:t xml:space="preserve">, </w:t>
      </w:r>
      <w:r w:rsidR="00DF3324" w:rsidRPr="00C24AD6">
        <w:rPr>
          <w:rFonts w:ascii="Calibri" w:eastAsia="Times New Roman" w:hAnsi="Calibri" w:cs="Times New Roman"/>
        </w:rPr>
        <w:t>DOT</w:t>
      </w:r>
      <w:r w:rsidR="008752E6" w:rsidRPr="00C24AD6">
        <w:rPr>
          <w:rFonts w:ascii="Calibri" w:eastAsia="Times New Roman" w:hAnsi="Calibri" w:cs="Times New Roman"/>
        </w:rPr>
        <w:t xml:space="preserve">, </w:t>
      </w:r>
      <w:r w:rsidR="00DF3324" w:rsidRPr="00C24AD6">
        <w:rPr>
          <w:rFonts w:ascii="Calibri" w:eastAsia="Times New Roman" w:hAnsi="Calibri" w:cs="Times New Roman"/>
        </w:rPr>
        <w:t>DDC</w:t>
      </w:r>
      <w:r w:rsidR="008752E6" w:rsidRPr="00C24AD6">
        <w:rPr>
          <w:rFonts w:ascii="Calibri" w:eastAsia="Times New Roman" w:hAnsi="Calibri" w:cs="Times New Roman"/>
        </w:rPr>
        <w:t xml:space="preserve">, </w:t>
      </w:r>
      <w:r w:rsidR="00DF3324" w:rsidRPr="00C24AD6">
        <w:rPr>
          <w:rFonts w:ascii="Calibri" w:eastAsia="Times New Roman" w:hAnsi="Calibri" w:cs="Times New Roman"/>
        </w:rPr>
        <w:t>Parks</w:t>
      </w:r>
      <w:r w:rsidR="008752E6" w:rsidRPr="00C24AD6">
        <w:rPr>
          <w:rFonts w:ascii="Calibri" w:eastAsia="Times New Roman" w:hAnsi="Calibri" w:cs="Times New Roman"/>
        </w:rPr>
        <w:t xml:space="preserve">, </w:t>
      </w:r>
      <w:r w:rsidR="00DF3324" w:rsidRPr="00C24AD6">
        <w:rPr>
          <w:rFonts w:ascii="Calibri" w:eastAsia="Times New Roman" w:hAnsi="Calibri" w:cs="Times New Roman"/>
        </w:rPr>
        <w:t>DCAS</w:t>
      </w:r>
      <w:r w:rsidR="008752E6" w:rsidRPr="00C24AD6">
        <w:rPr>
          <w:rFonts w:ascii="Calibri" w:eastAsia="Times New Roman" w:hAnsi="Calibri" w:cs="Times New Roman"/>
        </w:rPr>
        <w:t xml:space="preserve">, </w:t>
      </w:r>
      <w:r w:rsidR="00DF3324" w:rsidRPr="00C24AD6">
        <w:rPr>
          <w:rFonts w:ascii="Calibri" w:eastAsia="Times New Roman" w:hAnsi="Calibri" w:cs="Times New Roman"/>
        </w:rPr>
        <w:t xml:space="preserve">DHMH </w:t>
      </w:r>
      <w:r w:rsidR="008752E6" w:rsidRPr="00C24AD6">
        <w:rPr>
          <w:rFonts w:ascii="Calibri" w:eastAsia="Times New Roman" w:hAnsi="Calibri" w:cs="Times New Roman"/>
        </w:rPr>
        <w:t>and DOB can access the Master Contracts without a separate registration action.</w:t>
      </w:r>
      <w:r w:rsidR="00131DFB">
        <w:rPr>
          <w:rFonts w:ascii="Calibri" w:eastAsia="Times New Roman" w:hAnsi="Calibri" w:cs="Times New Roman"/>
        </w:rPr>
        <w:t xml:space="preserve">  If your agency sends a notification form and is not among the agencies listed above, Town+Gown/DDC will amend the Master Contract so that your agency can access it.</w:t>
      </w:r>
    </w:p>
    <w:p w:rsidR="00C24AD6" w:rsidRPr="00C24AD6" w:rsidRDefault="00C24AD6" w:rsidP="00C24AD6">
      <w:pPr>
        <w:pStyle w:val="ListParagraph"/>
        <w:spacing w:after="0" w:line="276" w:lineRule="auto"/>
        <w:ind w:left="1080"/>
      </w:pPr>
    </w:p>
    <w:p w:rsidR="002B3602" w:rsidRDefault="00F05732" w:rsidP="00C24AD6">
      <w:pPr>
        <w:pStyle w:val="ListParagraph"/>
        <w:numPr>
          <w:ilvl w:val="0"/>
          <w:numId w:val="14"/>
        </w:numPr>
        <w:spacing w:after="0" w:line="276" w:lineRule="auto"/>
      </w:pPr>
      <w:r>
        <w:t xml:space="preserve">Responsibility determinations are not required for </w:t>
      </w:r>
      <w:r w:rsidR="00C24AD6">
        <w:t>T</w:t>
      </w:r>
      <w:r w:rsidR="00463A2F">
        <w:t xml:space="preserve">ask </w:t>
      </w:r>
      <w:r w:rsidR="00C24AD6">
        <w:t>O</w:t>
      </w:r>
      <w:r w:rsidR="00463A2F">
        <w:t>rders,</w:t>
      </w:r>
      <w:r w:rsidR="00C24AD6">
        <w:t xml:space="preserve"> but it is advisable to make sure the awardee institution is up-to-date in the </w:t>
      </w:r>
      <w:r w:rsidR="00463A2F">
        <w:t xml:space="preserve">PassPort </w:t>
      </w:r>
      <w:r w:rsidR="00C24AD6">
        <w:t>system</w:t>
      </w:r>
      <w:r w:rsidR="00463A2F">
        <w:t>.</w:t>
      </w:r>
    </w:p>
    <w:p w:rsidR="0089516F" w:rsidRPr="000C401D" w:rsidRDefault="0089516F" w:rsidP="00C24AD6">
      <w:pPr>
        <w:pStyle w:val="ListParagraph"/>
        <w:spacing w:after="0" w:line="276" w:lineRule="auto"/>
        <w:ind w:left="2160"/>
      </w:pPr>
    </w:p>
    <w:p w:rsidR="002B3602" w:rsidRDefault="002B3602" w:rsidP="001164D2">
      <w:pPr>
        <w:pStyle w:val="ListParagraph"/>
        <w:numPr>
          <w:ilvl w:val="0"/>
          <w:numId w:val="14"/>
        </w:numPr>
        <w:spacing w:after="0" w:line="276" w:lineRule="auto"/>
      </w:pPr>
      <w:r w:rsidRPr="000C401D">
        <w:t xml:space="preserve">Section 3.2 of the </w:t>
      </w:r>
      <w:r w:rsidR="00C24AD6">
        <w:t>Master C</w:t>
      </w:r>
      <w:r w:rsidRPr="000C401D">
        <w:t>ontract</w:t>
      </w:r>
      <w:r w:rsidR="00C24AD6">
        <w:t xml:space="preserve"> requires the </w:t>
      </w:r>
      <w:r w:rsidRPr="000C401D">
        <w:t xml:space="preserve">Task Order include language with respect to a “fair and reasonable determination” in accordance with the National Science Foundation Cost Guidelines.  </w:t>
      </w:r>
      <w:r w:rsidR="00F82309">
        <w:t>T</w:t>
      </w:r>
      <w:r w:rsidR="00AF469C">
        <w:t>own</w:t>
      </w:r>
      <w:r w:rsidR="00F82309">
        <w:t>+G</w:t>
      </w:r>
      <w:r w:rsidR="00AF469C">
        <w:t>own</w:t>
      </w:r>
      <w:r w:rsidR="00F82309">
        <w:t xml:space="preserve"> RFP</w:t>
      </w:r>
      <w:r w:rsidRPr="000C401D">
        <w:t xml:space="preserve">s (Section 3.2), Proposals in Response (Section 3.3) and Task Orders (Sections 3.4) are subject to the requirements of the PPB Rules.  Section 3.3 contains a list of cost elements, with related policies and procedures, adapted from the National Science Foundation’s grant requirements.  Section 3-03(g) of the PPB covers the essence of the National Science Foundation’s fair and reasonable standard, requiring that the awarded Task Order represent the best value to the City by optimizing quality, cost and efficiency and be determined to be the most advantageous to the City, taking into consideration price and other factors/criteria set forth in the </w:t>
      </w:r>
      <w:r w:rsidR="00F82309">
        <w:t>T</w:t>
      </w:r>
      <w:r w:rsidR="00AF469C">
        <w:t>own</w:t>
      </w:r>
      <w:r w:rsidR="00F82309">
        <w:t>+G</w:t>
      </w:r>
      <w:r w:rsidR="00AF469C">
        <w:t>own</w:t>
      </w:r>
      <w:r w:rsidR="00F82309">
        <w:t xml:space="preserve"> RFP</w:t>
      </w:r>
      <w:r w:rsidRPr="000C401D">
        <w:t>.</w:t>
      </w:r>
    </w:p>
    <w:p w:rsidR="0089516F" w:rsidRDefault="0089516F" w:rsidP="00C24AD6">
      <w:pPr>
        <w:pStyle w:val="ListParagraph"/>
        <w:spacing w:after="0" w:line="276" w:lineRule="auto"/>
      </w:pPr>
    </w:p>
    <w:p w:rsidR="002B3602" w:rsidRPr="0033693E" w:rsidRDefault="0033693E" w:rsidP="00C24AD6">
      <w:pPr>
        <w:pStyle w:val="ListParagraph"/>
        <w:numPr>
          <w:ilvl w:val="0"/>
          <w:numId w:val="14"/>
        </w:numPr>
        <w:spacing w:after="0" w:line="276" w:lineRule="auto"/>
      </w:pPr>
      <w:r>
        <w:t xml:space="preserve">The innovative procurement creating the Master Contract </w:t>
      </w:r>
      <w:r w:rsidR="002B3602" w:rsidRPr="0033693E">
        <w:t>defer</w:t>
      </w:r>
      <w:r>
        <w:t>red</w:t>
      </w:r>
      <w:r w:rsidR="002B3602" w:rsidRPr="0033693E">
        <w:t xml:space="preserve"> compliance with the City’s insurance requirements until the time of Task Order award.  These requirements are </w:t>
      </w:r>
      <w:r w:rsidR="00A73E72" w:rsidRPr="0033693E">
        <w:t xml:space="preserve">in </w:t>
      </w:r>
      <w:r w:rsidR="002B3602" w:rsidRPr="0033693E">
        <w:t xml:space="preserve">Section 7 of Appendix A to the Master Contract.    </w:t>
      </w:r>
      <w:r>
        <w:t>In the Town+Gown RFP template form, however, the Requestor must indicate what insurance it will require and what insurance, if any, it will omit.</w:t>
      </w:r>
    </w:p>
    <w:p w:rsidR="000C401D" w:rsidRDefault="000C401D" w:rsidP="002B3602">
      <w:pPr>
        <w:pStyle w:val="ListParagraph"/>
        <w:spacing w:after="0" w:line="276" w:lineRule="auto"/>
        <w:ind w:left="360"/>
        <w:rPr>
          <w:b/>
          <w:highlight w:val="yellow"/>
        </w:rPr>
      </w:pPr>
    </w:p>
    <w:p w:rsidR="002B3602" w:rsidRPr="007F11AA" w:rsidRDefault="000C401D" w:rsidP="000C401D">
      <w:pPr>
        <w:pStyle w:val="ListParagraph"/>
        <w:numPr>
          <w:ilvl w:val="1"/>
          <w:numId w:val="3"/>
        </w:numPr>
        <w:spacing w:after="0" w:line="276" w:lineRule="auto"/>
      </w:pPr>
      <w:r w:rsidRPr="007F11AA">
        <w:rPr>
          <w:b/>
        </w:rPr>
        <w:t>The last 30-day period</w:t>
      </w:r>
    </w:p>
    <w:p w:rsidR="000C401D" w:rsidRPr="002B3602" w:rsidRDefault="000C401D" w:rsidP="000C401D">
      <w:pPr>
        <w:pStyle w:val="ListParagraph"/>
        <w:spacing w:after="0" w:line="276" w:lineRule="auto"/>
        <w:ind w:left="1080"/>
      </w:pPr>
    </w:p>
    <w:p w:rsidR="0089516F" w:rsidRDefault="009624A9" w:rsidP="007F11AA">
      <w:pPr>
        <w:pStyle w:val="ListParagraph"/>
        <w:spacing w:after="0" w:line="276" w:lineRule="auto"/>
      </w:pPr>
      <w:r>
        <w:rPr>
          <w:u w:val="single"/>
        </w:rPr>
        <w:t xml:space="preserve">Registration of Task Order with </w:t>
      </w:r>
      <w:r w:rsidR="005432C9">
        <w:rPr>
          <w:u w:val="single"/>
        </w:rPr>
        <w:t>Comptroller’s</w:t>
      </w:r>
      <w:r>
        <w:rPr>
          <w:u w:val="single"/>
        </w:rPr>
        <w:t xml:space="preserve"> Office.</w:t>
      </w:r>
      <w:r w:rsidR="00A73E72">
        <w:rPr>
          <w:u w:val="single"/>
        </w:rPr>
        <w:t xml:space="preserve"> </w:t>
      </w:r>
      <w:r w:rsidR="00A73E72">
        <w:t xml:space="preserve">  Experience with the Comptroller’s Office on all Task Orders has been good.</w:t>
      </w:r>
      <w:r w:rsidR="0056230A">
        <w:t xml:space="preserve">  </w:t>
      </w:r>
    </w:p>
    <w:p w:rsidR="00B16BB7" w:rsidRDefault="00B16BB7" w:rsidP="007F11AA">
      <w:pPr>
        <w:pStyle w:val="ListParagraph"/>
        <w:spacing w:after="0" w:line="276" w:lineRule="auto"/>
      </w:pPr>
    </w:p>
    <w:p w:rsidR="008035D7" w:rsidRPr="00A73E72" w:rsidRDefault="00F23B18" w:rsidP="00A73E72">
      <w:pPr>
        <w:spacing w:after="0" w:line="276" w:lineRule="auto"/>
        <w:rPr>
          <w:b/>
          <w:i/>
        </w:rPr>
      </w:pPr>
      <w:r w:rsidRPr="00A73E72">
        <w:rPr>
          <w:b/>
          <w:i/>
        </w:rPr>
        <w:t>Lessons Learned</w:t>
      </w:r>
      <w:r w:rsidR="00A73E72" w:rsidRPr="00A73E72">
        <w:rPr>
          <w:b/>
          <w:i/>
        </w:rPr>
        <w:t xml:space="preserve"> So Far</w:t>
      </w:r>
      <w:r w:rsidR="00A73E72">
        <w:rPr>
          <w:b/>
          <w:i/>
        </w:rPr>
        <w:t xml:space="preserve">.  </w:t>
      </w:r>
    </w:p>
    <w:p w:rsidR="007F11AA" w:rsidRDefault="007F11AA" w:rsidP="007F11AA">
      <w:pPr>
        <w:pStyle w:val="ListParagraph"/>
        <w:spacing w:after="0" w:line="276" w:lineRule="auto"/>
        <w:ind w:left="360"/>
      </w:pPr>
    </w:p>
    <w:p w:rsidR="007F11AA" w:rsidRDefault="007F11AA" w:rsidP="00A73E72">
      <w:pPr>
        <w:pStyle w:val="ListParagraph"/>
        <w:numPr>
          <w:ilvl w:val="0"/>
          <w:numId w:val="3"/>
        </w:numPr>
        <w:spacing w:after="0" w:line="276" w:lineRule="auto"/>
      </w:pPr>
      <w:r w:rsidRPr="00A73E72">
        <w:rPr>
          <w:u w:val="single"/>
        </w:rPr>
        <w:t>Complications from federal and/or state-level funding:</w:t>
      </w:r>
      <w:r>
        <w:t xml:space="preserve">  The 90-day period starts to run when the </w:t>
      </w:r>
      <w:r w:rsidR="00A5747C">
        <w:t>Requestor</w:t>
      </w:r>
      <w:r>
        <w:t xml:space="preserve"> sends a final </w:t>
      </w:r>
      <w:r w:rsidR="00F82309">
        <w:t>T</w:t>
      </w:r>
      <w:r w:rsidR="00AF469C">
        <w:t>own</w:t>
      </w:r>
      <w:r w:rsidR="00F82309">
        <w:t>+G</w:t>
      </w:r>
      <w:r w:rsidR="00AF469C">
        <w:t>own</w:t>
      </w:r>
      <w:r w:rsidR="00F82309">
        <w:t xml:space="preserve"> RFP</w:t>
      </w:r>
      <w:r>
        <w:t xml:space="preserve"> to DDC</w:t>
      </w:r>
      <w:r w:rsidR="00C24AD6">
        <w:t>,</w:t>
      </w:r>
      <w:r>
        <w:t xml:space="preserve"> as administrator</w:t>
      </w:r>
      <w:r w:rsidR="00C24AD6">
        <w:t xml:space="preserve"> of the Master Contract</w:t>
      </w:r>
      <w:r>
        <w:t xml:space="preserve">.  If the </w:t>
      </w:r>
      <w:r w:rsidR="00A5747C">
        <w:t>Requestor</w:t>
      </w:r>
      <w:r>
        <w:t xml:space="preserve"> is using non-City money that comes from either </w:t>
      </w:r>
      <w:r w:rsidR="00181543">
        <w:t xml:space="preserve">a </w:t>
      </w:r>
      <w:r>
        <w:t>federal or state grant program</w:t>
      </w:r>
      <w:r w:rsidR="00A73E72">
        <w:t xml:space="preserve"> for the research</w:t>
      </w:r>
      <w:r>
        <w:t xml:space="preserve">, there will likely be a </w:t>
      </w:r>
      <w:r w:rsidR="00181543">
        <w:t xml:space="preserve">due diligence and </w:t>
      </w:r>
      <w:r>
        <w:t xml:space="preserve">compliance process required </w:t>
      </w:r>
      <w:r w:rsidR="00181543">
        <w:t>by</w:t>
      </w:r>
      <w:r>
        <w:t xml:space="preserve"> the grant programs to make sure the research project complies with its program requirements.</w:t>
      </w:r>
      <w:r w:rsidR="00181543">
        <w:t xml:space="preserve">  </w:t>
      </w:r>
      <w:r w:rsidR="00C24AD6">
        <w:t>Requestor</w:t>
      </w:r>
      <w:r w:rsidR="00181543">
        <w:t xml:space="preserve">s need to know that City oversight agencies, such as OMB, will likely be involved during the run-up to the release of the </w:t>
      </w:r>
      <w:r w:rsidR="00F82309">
        <w:t>T</w:t>
      </w:r>
      <w:r w:rsidR="00F21A4A">
        <w:t>own+Gown</w:t>
      </w:r>
      <w:r w:rsidR="00F82309">
        <w:t xml:space="preserve"> RFP</w:t>
      </w:r>
      <w:r w:rsidR="00181543">
        <w:t>.</w:t>
      </w:r>
      <w:r>
        <w:t xml:space="preserve">  </w:t>
      </w:r>
      <w:r w:rsidR="00034F92">
        <w:t>Town+Gown/DDC can send a document to Requestors to forward to OMB that explains the creation of the Master Contract and how it works, especially focusing on the aspects of competition</w:t>
      </w:r>
      <w:r w:rsidR="00131DFB">
        <w:t xml:space="preserve">, </w:t>
      </w:r>
      <w:r>
        <w:t>but that process can have its own time demands that would be considered as properly outside the 90-day period.</w:t>
      </w:r>
    </w:p>
    <w:p w:rsidR="00A73E72" w:rsidRDefault="00A73E72" w:rsidP="00A73E72">
      <w:pPr>
        <w:pStyle w:val="ListParagraph"/>
        <w:spacing w:after="0" w:line="276" w:lineRule="auto"/>
        <w:ind w:left="360"/>
      </w:pPr>
    </w:p>
    <w:p w:rsidR="00905DE9" w:rsidRDefault="00C24AD6" w:rsidP="00A73E72">
      <w:pPr>
        <w:pStyle w:val="ListParagraph"/>
        <w:numPr>
          <w:ilvl w:val="0"/>
          <w:numId w:val="3"/>
        </w:numPr>
        <w:spacing w:after="0" w:line="276" w:lineRule="auto"/>
      </w:pPr>
      <w:r>
        <w:rPr>
          <w:u w:val="single"/>
        </w:rPr>
        <w:t xml:space="preserve">Delays </w:t>
      </w:r>
      <w:r w:rsidR="007331B2" w:rsidRPr="00A73E72">
        <w:rPr>
          <w:u w:val="single"/>
        </w:rPr>
        <w:t xml:space="preserve">at </w:t>
      </w:r>
      <w:r w:rsidR="0033693E">
        <w:rPr>
          <w:u w:val="single"/>
        </w:rPr>
        <w:t>Academic Consortium I</w:t>
      </w:r>
      <w:r w:rsidR="007331B2" w:rsidRPr="00A73E72">
        <w:rPr>
          <w:u w:val="single"/>
        </w:rPr>
        <w:t>nstitutions:</w:t>
      </w:r>
      <w:r w:rsidR="007331B2">
        <w:t xml:space="preserve">  </w:t>
      </w:r>
      <w:r w:rsidR="00C03F12">
        <w:t xml:space="preserve">Keeping to the 30-day evaluation and award period requires the awardee </w:t>
      </w:r>
      <w:r w:rsidR="0033693E">
        <w:t>A</w:t>
      </w:r>
      <w:r w:rsidR="006A0EA5">
        <w:t xml:space="preserve">cademic </w:t>
      </w:r>
      <w:r w:rsidR="0033693E">
        <w:t xml:space="preserve">Consortium </w:t>
      </w:r>
      <w:r w:rsidR="006A0EA5">
        <w:t>institution</w:t>
      </w:r>
      <w:r w:rsidR="00C03F12">
        <w:t xml:space="preserve"> to be ready t</w:t>
      </w:r>
      <w:r w:rsidR="00A73E72">
        <w:t>o move quickly toward execution of the Task O</w:t>
      </w:r>
      <w:r w:rsidR="00C03F12">
        <w:t xml:space="preserve">rder as soon as it is available from the </w:t>
      </w:r>
      <w:r w:rsidR="00A5747C">
        <w:t>Requestor</w:t>
      </w:r>
      <w:r w:rsidR="00C03F12">
        <w:t xml:space="preserve">.  Experience with institutions </w:t>
      </w:r>
      <w:r w:rsidR="006A0EA5">
        <w:t xml:space="preserve">that have </w:t>
      </w:r>
      <w:r w:rsidR="00C03F12">
        <w:t xml:space="preserve">a separate research foundation as the point of contact for </w:t>
      </w:r>
      <w:r w:rsidR="006A0EA5">
        <w:t>T</w:t>
      </w:r>
      <w:r w:rsidR="00C03F12">
        <w:t xml:space="preserve">ask </w:t>
      </w:r>
      <w:r w:rsidR="006A0EA5">
        <w:t>O</w:t>
      </w:r>
      <w:r w:rsidR="00C03F12">
        <w:t>rder execution</w:t>
      </w:r>
      <w:r>
        <w:t xml:space="preserve"> (e.g., CUNY)</w:t>
      </w:r>
      <w:r w:rsidR="00C03F12">
        <w:t xml:space="preserve"> has indicated th</w:t>
      </w:r>
      <w:r>
        <w:t>ere may be delays at this point when the central legal office at the academic institution engages in its review of the Task Order.</w:t>
      </w:r>
    </w:p>
    <w:p w:rsidR="00905DE9" w:rsidRDefault="00905DE9">
      <w:r>
        <w:br w:type="page"/>
      </w:r>
    </w:p>
    <w:p w:rsidR="00905DE9" w:rsidRPr="00D227F2" w:rsidRDefault="00905DE9" w:rsidP="00905DE9">
      <w:pPr>
        <w:jc w:val="right"/>
      </w:pPr>
      <w:r>
        <w:t>Appendix A</w:t>
      </w:r>
    </w:p>
    <w:p w:rsidR="00905DE9" w:rsidRDefault="00905DE9" w:rsidP="00905DE9">
      <w:pPr>
        <w:jc w:val="center"/>
        <w:rPr>
          <w:b/>
        </w:rPr>
      </w:pPr>
    </w:p>
    <w:p w:rsidR="00905DE9" w:rsidRDefault="00905DE9" w:rsidP="00905DE9">
      <w:pPr>
        <w:jc w:val="center"/>
      </w:pPr>
      <w:r w:rsidRPr="00D227F2">
        <w:rPr>
          <w:b/>
        </w:rPr>
        <w:t xml:space="preserve">Form of Requestor </w:t>
      </w:r>
      <w:r w:rsidRPr="00D227F2">
        <w:rPr>
          <w:b/>
          <w:u w:val="single"/>
        </w:rPr>
        <w:t>Notification of Intent to Use the Master Contract</w:t>
      </w:r>
      <w:r w:rsidRPr="00D227F2">
        <w:rPr>
          <w:b/>
        </w:rPr>
        <w:t xml:space="preserve"> for a Research Project</w:t>
      </w:r>
    </w:p>
    <w:p w:rsidR="00C67877" w:rsidRDefault="00C67877" w:rsidP="009A11DE">
      <w:pPr>
        <w:spacing w:after="0" w:line="276" w:lineRule="auto"/>
        <w:jc w:val="center"/>
      </w:pPr>
      <w:r>
        <w:t>[</w:t>
      </w:r>
      <w:r w:rsidR="009A11DE">
        <w:t>Please send to Terri Matthews, Director, Town+Gown (</w:t>
      </w:r>
      <w:hyperlink r:id="rId34" w:history="1">
        <w:r w:rsidR="009A11DE" w:rsidRPr="009C12CE">
          <w:rPr>
            <w:rStyle w:val="Hyperlink"/>
          </w:rPr>
          <w:t>matthewte@ddc.nyc.gov</w:t>
        </w:r>
      </w:hyperlink>
      <w:r w:rsidR="009A11DE">
        <w:t xml:space="preserve"> )</w:t>
      </w:r>
    </w:p>
    <w:p w:rsidR="00905DE9" w:rsidRDefault="00C67877" w:rsidP="009A11DE">
      <w:pPr>
        <w:spacing w:after="0" w:line="276" w:lineRule="auto"/>
        <w:jc w:val="center"/>
      </w:pPr>
      <w:r>
        <w:t>o</w:t>
      </w:r>
      <w:r w:rsidR="009A11DE">
        <w:t>r</w:t>
      </w:r>
      <w:r>
        <w:t xml:space="preserve"> </w:t>
      </w:r>
      <w:r w:rsidR="009A11DE">
        <w:t xml:space="preserve">Nicolas Mendoza, DDC ACCO </w:t>
      </w:r>
      <w:r w:rsidR="009A11DE" w:rsidRPr="009D7FA3">
        <w:t>(</w:t>
      </w:r>
      <w:hyperlink r:id="rId35" w:history="1">
        <w:r w:rsidR="009A11DE" w:rsidRPr="009D7FA3">
          <w:rPr>
            <w:rStyle w:val="Hyperlink"/>
          </w:rPr>
          <w:t>MendozaNi@ddc.nyc.gov</w:t>
        </w:r>
      </w:hyperlink>
      <w:r w:rsidR="009A11DE" w:rsidRPr="009D7FA3">
        <w:t>)</w:t>
      </w:r>
      <w:r>
        <w:t>]</w:t>
      </w:r>
    </w:p>
    <w:p w:rsidR="009A11DE" w:rsidRDefault="009A11DE" w:rsidP="009A11DE">
      <w:pPr>
        <w:spacing w:after="0" w:line="276" w:lineRule="auto"/>
        <w:jc w:val="center"/>
      </w:pPr>
    </w:p>
    <w:p w:rsidR="00905DE9" w:rsidRDefault="00905DE9" w:rsidP="00905DE9">
      <w:r>
        <w:t xml:space="preserve">[Requestor name] (the </w:t>
      </w:r>
      <w:r w:rsidRPr="00D227F2">
        <w:t>Agency</w:t>
      </w:r>
      <w:r>
        <w:t xml:space="preserve">) </w:t>
      </w:r>
      <w:r w:rsidRPr="00D227F2">
        <w:t>intends</w:t>
      </w:r>
      <w:r>
        <w:t xml:space="preserve"> to use the Town+Gown Master Academic Consortium Contract, for which </w:t>
      </w:r>
      <w:r w:rsidR="00131DFB">
        <w:t>Town+Gown/</w:t>
      </w:r>
      <w:r>
        <w:t>New York City Department of Design and Construction (</w:t>
      </w:r>
      <w:r>
        <w:rPr>
          <w:b/>
        </w:rPr>
        <w:t>DDC</w:t>
      </w:r>
      <w:r>
        <w:t xml:space="preserve">) is the administrator (the </w:t>
      </w:r>
      <w:r w:rsidRPr="00F82309">
        <w:rPr>
          <w:b/>
        </w:rPr>
        <w:t>Master Contract</w:t>
      </w:r>
      <w:r>
        <w:t>)</w:t>
      </w:r>
      <w:r w:rsidR="00131DFB">
        <w:t>,</w:t>
      </w:r>
      <w:r>
        <w:t xml:space="preserve"> for a Research Project.  All defined terms used herein but not defined shall have the meanings ascribed to them in the Master Contract.</w:t>
      </w:r>
    </w:p>
    <w:p w:rsidR="00905DE9" w:rsidRDefault="00905DE9" w:rsidP="00905DE9">
      <w:pPr>
        <w:pStyle w:val="ListParagraph"/>
        <w:numPr>
          <w:ilvl w:val="0"/>
          <w:numId w:val="15"/>
        </w:numPr>
        <w:spacing w:after="0" w:line="276" w:lineRule="auto"/>
        <w:ind w:left="360"/>
      </w:pPr>
      <w:r>
        <w:t>The amount of this Research Project is estimated to be $____________.</w:t>
      </w:r>
    </w:p>
    <w:p w:rsidR="00905DE9" w:rsidRDefault="00905DE9" w:rsidP="00905DE9">
      <w:pPr>
        <w:pStyle w:val="ListParagraph"/>
        <w:spacing w:after="0" w:line="276" w:lineRule="auto"/>
        <w:ind w:left="360"/>
      </w:pPr>
    </w:p>
    <w:p w:rsidR="00905DE9" w:rsidRDefault="00905DE9" w:rsidP="00905DE9">
      <w:pPr>
        <w:pStyle w:val="ListParagraph"/>
        <w:numPr>
          <w:ilvl w:val="0"/>
          <w:numId w:val="15"/>
        </w:numPr>
        <w:spacing w:after="0" w:line="276" w:lineRule="auto"/>
        <w:ind w:left="360"/>
      </w:pPr>
      <w:r>
        <w:t>Please check one:</w:t>
      </w:r>
    </w:p>
    <w:p w:rsidR="00905DE9" w:rsidRDefault="00905DE9" w:rsidP="00905DE9">
      <w:pPr>
        <w:pStyle w:val="ListParagraph"/>
        <w:spacing w:after="0" w:line="276" w:lineRule="auto"/>
        <w:ind w:left="360"/>
      </w:pPr>
    </w:p>
    <w:p w:rsidR="00905DE9" w:rsidRDefault="00905DE9" w:rsidP="00905DE9">
      <w:pPr>
        <w:pStyle w:val="ListParagraph"/>
        <w:spacing w:after="0" w:line="276" w:lineRule="auto"/>
        <w:ind w:left="360"/>
      </w:pPr>
      <w:r>
        <w:t>____   Attached is a copy of the LL 63 disclosure in the Agency’s annual plan or a copy of the special LL 63 notice intended to cover the Research Project (for Research Projects greater than $200,000).</w:t>
      </w:r>
    </w:p>
    <w:p w:rsidR="00905DE9" w:rsidRDefault="00905DE9" w:rsidP="00905DE9">
      <w:pPr>
        <w:pStyle w:val="ListParagraph"/>
      </w:pPr>
    </w:p>
    <w:p w:rsidR="00905DE9" w:rsidRDefault="00905DE9" w:rsidP="00905DE9">
      <w:pPr>
        <w:pStyle w:val="ListParagraph"/>
        <w:ind w:left="360"/>
      </w:pPr>
      <w:r>
        <w:t>____   The Agency intends to comply with LL 63 by filing a special LL 63 notice scheduled for publication in The City Record on _________, 201_.  We will send a copy of such notice when it is published.</w:t>
      </w:r>
    </w:p>
    <w:p w:rsidR="00905DE9" w:rsidRDefault="00905DE9" w:rsidP="00905DE9">
      <w:pPr>
        <w:pStyle w:val="ListParagraph"/>
        <w:ind w:left="360"/>
      </w:pPr>
    </w:p>
    <w:p w:rsidR="00905DE9" w:rsidRPr="003B6D23" w:rsidRDefault="00905DE9" w:rsidP="00905DE9">
      <w:pPr>
        <w:pStyle w:val="ListParagraph"/>
        <w:ind w:left="360"/>
      </w:pPr>
      <w:r>
        <w:t>____   Since the Research Project is estimated to be $200,000 or less, there is no need for a LL 63 disclosure or notice.</w:t>
      </w:r>
    </w:p>
    <w:p w:rsidR="00905DE9" w:rsidRPr="00E23976" w:rsidRDefault="00905DE9" w:rsidP="00905DE9">
      <w:pPr>
        <w:pStyle w:val="ListParagraph"/>
        <w:spacing w:after="0" w:line="276" w:lineRule="auto"/>
        <w:ind w:left="360"/>
        <w:rPr>
          <w:highlight w:val="darkYellow"/>
        </w:rPr>
      </w:pPr>
    </w:p>
    <w:p w:rsidR="00905DE9" w:rsidRPr="00D227F2" w:rsidRDefault="00905DE9" w:rsidP="00905DE9">
      <w:pPr>
        <w:pStyle w:val="ListParagraph"/>
        <w:spacing w:after="0" w:line="276" w:lineRule="auto"/>
        <w:ind w:left="360"/>
        <w:rPr>
          <w:i/>
        </w:rPr>
      </w:pPr>
      <w:r w:rsidRPr="00D227F2">
        <w:rPr>
          <w:i/>
        </w:rPr>
        <w:t xml:space="preserve">About LL 63.  If the allocated amount for the Research Project is greater than $200,000 and the Requestor did not include a LL 63 disclosure on the agency’s LL 63 annual plan, the Requestor must put a notice of the Town+Gown RFP in The City Record as soon as you know program staff is contemplating academic research, so that the required 60-day period can run.  If you are aware of your agency’s general need for academic research, you can include LL 63 disclosure on your agency’s LL 63 annual plan on a prospective basis, so this is already in place. </w:t>
      </w:r>
    </w:p>
    <w:p w:rsidR="00905DE9" w:rsidRDefault="00905DE9" w:rsidP="00905DE9">
      <w:pPr>
        <w:pStyle w:val="ListParagraph"/>
        <w:spacing w:after="0" w:line="276" w:lineRule="auto"/>
        <w:ind w:left="360"/>
      </w:pPr>
    </w:p>
    <w:p w:rsidR="00905DE9" w:rsidRDefault="00905DE9" w:rsidP="00905DE9">
      <w:pPr>
        <w:pStyle w:val="ListParagraph"/>
        <w:spacing w:after="0" w:line="276" w:lineRule="auto"/>
        <w:ind w:left="360"/>
        <w:rPr>
          <w:i/>
        </w:rPr>
      </w:pPr>
      <w:r w:rsidRPr="00D227F2">
        <w:rPr>
          <w:i/>
        </w:rPr>
        <w:t xml:space="preserve">DDC, as administrator of the Master Contract, </w:t>
      </w:r>
      <w:r>
        <w:rPr>
          <w:i/>
        </w:rPr>
        <w:t xml:space="preserve">need to know </w:t>
      </w:r>
      <w:r w:rsidRPr="00D227F2">
        <w:rPr>
          <w:i/>
        </w:rPr>
        <w:t>the amount budgeted/allocated for the Research Project as soon as you are aware of it, so that DDC can work with the Comptroller’s Office all Master Contracts have sufficient amounts associated with them in FMS to handle an eventual award, which can involve the 30-day waiting period with the Comptroller’s Office.  If your agency is not listed on the Master Contracts as an authorized user, DDC will need to add your agency in FMS.</w:t>
      </w:r>
    </w:p>
    <w:p w:rsidR="00905DE9" w:rsidRDefault="00905DE9" w:rsidP="00905DE9">
      <w:pPr>
        <w:pStyle w:val="ListParagraph"/>
        <w:spacing w:after="0" w:line="276" w:lineRule="auto"/>
        <w:ind w:left="360"/>
        <w:rPr>
          <w:i/>
        </w:rPr>
      </w:pPr>
    </w:p>
    <w:p w:rsidR="00905DE9" w:rsidRPr="00131DFB" w:rsidRDefault="00131DFB" w:rsidP="00905DE9">
      <w:pPr>
        <w:pStyle w:val="ListParagraph"/>
        <w:spacing w:after="0" w:line="276" w:lineRule="auto"/>
        <w:ind w:left="360"/>
      </w:pPr>
      <w:r>
        <w:rPr>
          <w:i/>
        </w:rPr>
        <w:tab/>
      </w:r>
      <w:r>
        <w:rPr>
          <w:i/>
        </w:rPr>
        <w:tab/>
      </w:r>
      <w:r>
        <w:rPr>
          <w:i/>
        </w:rPr>
        <w:tab/>
      </w:r>
      <w:r>
        <w:rPr>
          <w:i/>
        </w:rPr>
        <w:tab/>
      </w:r>
      <w:r>
        <w:rPr>
          <w:i/>
        </w:rPr>
        <w:tab/>
      </w:r>
      <w:r>
        <w:rPr>
          <w:i/>
        </w:rPr>
        <w:tab/>
      </w:r>
      <w:r>
        <w:rPr>
          <w:i/>
        </w:rPr>
        <w:tab/>
      </w:r>
      <w:r>
        <w:t>[Requestor agency name]</w:t>
      </w:r>
    </w:p>
    <w:p w:rsidR="00905DE9" w:rsidRDefault="00905DE9" w:rsidP="00905DE9">
      <w:pPr>
        <w:pStyle w:val="ListParagraph"/>
        <w:spacing w:after="0" w:line="276" w:lineRule="auto"/>
        <w:ind w:left="360"/>
        <w:rPr>
          <w:i/>
        </w:rPr>
      </w:pPr>
      <w:r>
        <w:rPr>
          <w:i/>
        </w:rPr>
        <w:tab/>
      </w:r>
      <w:r>
        <w:rPr>
          <w:i/>
        </w:rPr>
        <w:tab/>
      </w:r>
      <w:r>
        <w:rPr>
          <w:i/>
        </w:rPr>
        <w:tab/>
      </w:r>
      <w:r>
        <w:rPr>
          <w:i/>
        </w:rPr>
        <w:tab/>
      </w:r>
      <w:r>
        <w:rPr>
          <w:i/>
        </w:rPr>
        <w:tab/>
      </w:r>
      <w:r>
        <w:rPr>
          <w:i/>
        </w:rPr>
        <w:tab/>
      </w:r>
      <w:r>
        <w:rPr>
          <w:i/>
        </w:rPr>
        <w:tab/>
        <w:t>_____________________________________</w:t>
      </w:r>
    </w:p>
    <w:p w:rsidR="00905DE9" w:rsidRPr="00905DE9" w:rsidRDefault="00905DE9" w:rsidP="00905DE9">
      <w:pPr>
        <w:pStyle w:val="ListParagraph"/>
        <w:spacing w:after="0" w:line="276" w:lineRule="auto"/>
        <w:ind w:left="360"/>
      </w:pPr>
      <w:r>
        <w:rPr>
          <w:i/>
        </w:rPr>
        <w:tab/>
      </w:r>
      <w:r>
        <w:rPr>
          <w:i/>
        </w:rPr>
        <w:tab/>
      </w:r>
      <w:r>
        <w:rPr>
          <w:i/>
        </w:rPr>
        <w:tab/>
      </w:r>
      <w:r>
        <w:rPr>
          <w:i/>
        </w:rPr>
        <w:tab/>
      </w:r>
      <w:r>
        <w:rPr>
          <w:i/>
        </w:rPr>
        <w:tab/>
      </w:r>
      <w:r>
        <w:rPr>
          <w:i/>
        </w:rPr>
        <w:tab/>
      </w:r>
      <w:r>
        <w:rPr>
          <w:i/>
        </w:rPr>
        <w:tab/>
      </w:r>
      <w:r w:rsidRPr="00905DE9">
        <w:t>Name and title</w:t>
      </w:r>
    </w:p>
    <w:p w:rsidR="00F23B18" w:rsidRDefault="00F23B18" w:rsidP="00F23B18">
      <w:pPr>
        <w:jc w:val="right"/>
      </w:pPr>
      <w:r>
        <w:t xml:space="preserve">Appendix </w:t>
      </w:r>
      <w:r w:rsidR="003666BB">
        <w:t>B</w:t>
      </w:r>
    </w:p>
    <w:p w:rsidR="00F23B18" w:rsidRPr="007A6473" w:rsidRDefault="001164D2" w:rsidP="00F23B18">
      <w:pPr>
        <w:spacing w:after="0"/>
        <w:jc w:val="center"/>
        <w:rPr>
          <w:b/>
        </w:rPr>
      </w:pPr>
      <w:r>
        <w:rPr>
          <w:b/>
        </w:rPr>
        <w:t xml:space="preserve">Master Contract </w:t>
      </w:r>
      <w:r w:rsidR="00F23B18" w:rsidRPr="007A6473">
        <w:rPr>
          <w:b/>
        </w:rPr>
        <w:t>Provisions that Reflect Academic Setting</w:t>
      </w:r>
    </w:p>
    <w:p w:rsidR="00F23B18" w:rsidRDefault="00F23B18" w:rsidP="00F23B18">
      <w:pPr>
        <w:spacing w:after="0"/>
        <w:rPr>
          <w:i/>
        </w:rPr>
      </w:pPr>
    </w:p>
    <w:p w:rsidR="00F23B18" w:rsidRPr="00F23B18" w:rsidRDefault="001164D2" w:rsidP="00F23B18">
      <w:pPr>
        <w:spacing w:after="0"/>
      </w:pPr>
      <w:r>
        <w:t>The Master Contract has provisions that are significantly different than standard City contracts to reflect the academic setting and practices.  In addition, t</w:t>
      </w:r>
      <w:r w:rsidR="00F23B18" w:rsidRPr="00F23B18">
        <w:t>he City’s standard Appendix A for service c</w:t>
      </w:r>
      <w:r w:rsidR="00A566FF">
        <w:t>ontract terms and provisions ha</w:t>
      </w:r>
      <w:r>
        <w:t>s</w:t>
      </w:r>
      <w:r w:rsidR="00F23B18" w:rsidRPr="00F23B18">
        <w:t xml:space="preserve"> been significantly amended for </w:t>
      </w:r>
      <w:r w:rsidR="00C90C14">
        <w:t xml:space="preserve">Appendix A to </w:t>
      </w:r>
      <w:r w:rsidR="00F23B18" w:rsidRPr="00F23B18">
        <w:t xml:space="preserve">the </w:t>
      </w:r>
      <w:r>
        <w:t>Master</w:t>
      </w:r>
      <w:r w:rsidR="00D83F44">
        <w:t xml:space="preserve"> </w:t>
      </w:r>
      <w:r w:rsidR="00F23B18" w:rsidRPr="00F23B18">
        <w:t xml:space="preserve">Contract in ways that reflect the academic setting and practices.   </w:t>
      </w:r>
      <w:r>
        <w:t>All defined terms used but not defined have the meanings given to them in the Master Contract.</w:t>
      </w:r>
      <w:r w:rsidR="00F23B18" w:rsidRPr="00F23B18">
        <w:t xml:space="preserve">  </w:t>
      </w:r>
    </w:p>
    <w:p w:rsidR="00F23B18" w:rsidRPr="00F23B18" w:rsidRDefault="00F23B18" w:rsidP="00F23B18">
      <w:pPr>
        <w:spacing w:after="0"/>
      </w:pPr>
    </w:p>
    <w:p w:rsidR="00F23B18" w:rsidRPr="00F23B18" w:rsidRDefault="001164D2" w:rsidP="00F23B18">
      <w:pPr>
        <w:pStyle w:val="ListParagraph"/>
        <w:numPr>
          <w:ilvl w:val="0"/>
          <w:numId w:val="4"/>
        </w:numPr>
        <w:spacing w:after="0" w:line="276" w:lineRule="auto"/>
        <w:ind w:left="360"/>
      </w:pPr>
      <w:r>
        <w:t>S</w:t>
      </w:r>
      <w:r w:rsidR="00F23B18" w:rsidRPr="00F23B18">
        <w:t xml:space="preserve">ome provisions of Section 3.3, which outlines elements of the Consultant’s Proposal in Response, </w:t>
      </w:r>
      <w:r>
        <w:t>related to</w:t>
      </w:r>
      <w:r w:rsidR="00F23B18" w:rsidRPr="00F23B18">
        <w:t xml:space="preserve"> cost elements and related policies and procedures</w:t>
      </w:r>
      <w:r w:rsidR="00131DFB">
        <w:t>,</w:t>
      </w:r>
      <w:r w:rsidR="00F23B18" w:rsidRPr="00F23B18">
        <w:t xml:space="preserve"> are expressly adapted from grant requirements established by the National Science Foundation (NSF)</w:t>
      </w:r>
      <w:r>
        <w:t>.  T</w:t>
      </w:r>
      <w:r w:rsidR="00F23B18" w:rsidRPr="00F23B18">
        <w:t xml:space="preserve">he City’s standard “time and materials” provisions </w:t>
      </w:r>
      <w:r>
        <w:t xml:space="preserve">have been modified </w:t>
      </w:r>
      <w:r w:rsidR="00F23B18" w:rsidRPr="00F23B18">
        <w:t xml:space="preserve">in a way that reflects current generally accepted academic practice. </w:t>
      </w:r>
      <w:r>
        <w:t xml:space="preserve"> </w:t>
      </w:r>
      <w:r w:rsidR="00F23B18" w:rsidRPr="00F23B18">
        <w:t xml:space="preserve">Some provisions reflect standard City practice, but contain an option for the </w:t>
      </w:r>
      <w:r w:rsidR="00A5747C">
        <w:t>Requestor</w:t>
      </w:r>
      <w:r w:rsidR="00F23B18" w:rsidRPr="00F23B18">
        <w:t xml:space="preserve"> to deviate from these requirements in their </w:t>
      </w:r>
      <w:r w:rsidR="00F82309">
        <w:t>T</w:t>
      </w:r>
      <w:r w:rsidR="00AF469C">
        <w:t>own</w:t>
      </w:r>
      <w:r w:rsidR="00F82309">
        <w:t>+G</w:t>
      </w:r>
      <w:r w:rsidR="00AF469C">
        <w:t>own</w:t>
      </w:r>
      <w:r w:rsidR="00F82309">
        <w:t xml:space="preserve"> RFP</w:t>
      </w:r>
      <w:r w:rsidR="00F23B18" w:rsidRPr="00F23B18">
        <w:t xml:space="preserve"> (see Sections 3.3(e)(1), (6</w:t>
      </w:r>
      <w:r w:rsidR="005432C9" w:rsidRPr="00F23B18">
        <w:t>))</w:t>
      </w:r>
      <w:r w:rsidR="00F23B18" w:rsidRPr="00F23B18">
        <w:t xml:space="preserve"> and for the proposing Consultant to request an alternative to them (see Sections 3.3(e)(2), (4) and (10)).  The only item for which there can be no flexibility is long-distance travel (see Section 3.3(e)(7)), which is constrained by the City’s audit rules.</w:t>
      </w:r>
      <w:r w:rsidR="00F23B18" w:rsidRPr="00F23B18">
        <w:rPr>
          <w:rStyle w:val="FootnoteReference"/>
        </w:rPr>
        <w:footnoteReference w:id="1"/>
      </w:r>
    </w:p>
    <w:p w:rsidR="00F23B18" w:rsidRPr="00F23B18" w:rsidRDefault="00F23B18" w:rsidP="00F23B18">
      <w:pPr>
        <w:pStyle w:val="ListParagraph"/>
        <w:spacing w:after="0"/>
        <w:ind w:left="360"/>
      </w:pPr>
    </w:p>
    <w:p w:rsidR="00F23B18" w:rsidRPr="00F23B18" w:rsidRDefault="00F23B18" w:rsidP="00F23B18">
      <w:pPr>
        <w:pStyle w:val="ListParagraph"/>
        <w:numPr>
          <w:ilvl w:val="0"/>
          <w:numId w:val="4"/>
        </w:numPr>
        <w:spacing w:after="0" w:line="276" w:lineRule="auto"/>
        <w:ind w:left="360"/>
      </w:pPr>
      <w:r w:rsidRPr="00F23B18">
        <w:t>As noted in Section 3.2(f), there are several provisions in Appendix A (Sections 5.05 (Removal of Records), 5.08 (Confidentiality), 6.01 (Copyrights) and 6.02</w:t>
      </w:r>
      <w:r w:rsidR="00FC1015">
        <w:t xml:space="preserve"> </w:t>
      </w:r>
      <w:r w:rsidRPr="00F23B18">
        <w:t>(Patents)</w:t>
      </w:r>
      <w:r w:rsidR="001164D2">
        <w:t>)</w:t>
      </w:r>
      <w:r w:rsidRPr="00F23B18">
        <w:t xml:space="preserve"> that reflect both standard academic practice with federal contracting agencies as well as </w:t>
      </w:r>
      <w:r w:rsidR="0039795A">
        <w:t>T</w:t>
      </w:r>
      <w:r w:rsidR="00131DFB">
        <w:t>own+Gown’s</w:t>
      </w:r>
      <w:r w:rsidR="004A6C35">
        <w:t xml:space="preserve"> </w:t>
      </w:r>
      <w:r w:rsidRPr="00F23B18">
        <w:t>action research principle that both practitioner and academic are equal partners in knowledge creation</w:t>
      </w:r>
      <w:r w:rsidR="004A6C35">
        <w:t xml:space="preserve"> (the </w:t>
      </w:r>
      <w:r w:rsidR="004A6C35">
        <w:rPr>
          <w:b/>
        </w:rPr>
        <w:t>standard academic practice</w:t>
      </w:r>
      <w:r w:rsidR="004A6C35">
        <w:t>)</w:t>
      </w:r>
      <w:r w:rsidRPr="00F23B18">
        <w:t>.   Sections 5.05, 5.08</w:t>
      </w:r>
      <w:r w:rsidR="004A6C35">
        <w:t>,</w:t>
      </w:r>
      <w:r w:rsidRPr="00F23B18">
        <w:t xml:space="preserve"> 6.01</w:t>
      </w:r>
      <w:r w:rsidR="004A6C35">
        <w:t xml:space="preserve"> and 6.02</w:t>
      </w:r>
      <w:r w:rsidRPr="00F23B18">
        <w:t xml:space="preserve"> reverse the pattern of rights on standard City contracts, so that the standard academic practice </w:t>
      </w:r>
      <w:r w:rsidR="004A6C35">
        <w:t>applies</w:t>
      </w:r>
      <w:r w:rsidR="00FC1015">
        <w:t xml:space="preserve">.  </w:t>
      </w:r>
      <w:r w:rsidR="00E66FC5" w:rsidRPr="00F23B18">
        <w:t>Section 6.0</w:t>
      </w:r>
      <w:r w:rsidR="00E66FC5">
        <w:t>1A</w:t>
      </w:r>
      <w:r w:rsidR="00E66FC5" w:rsidRPr="00F23B18">
        <w:t xml:space="preserve"> contains provisions that closely adhere to standard academic practice but differs from that practice to reflect the equal partnership between academics and practitioners in knowledge creation under </w:t>
      </w:r>
      <w:r w:rsidR="00E66FC5">
        <w:t>Town+Gown</w:t>
      </w:r>
      <w:r w:rsidR="00E66FC5" w:rsidRPr="00F23B18">
        <w:t>.</w:t>
      </w:r>
      <w:r w:rsidR="00E66FC5">
        <w:t xml:space="preserve"> </w:t>
      </w:r>
      <w:r w:rsidR="00E66FC5">
        <w:t xml:space="preserve"> </w:t>
      </w:r>
      <w:r w:rsidR="00FC1015">
        <w:t xml:space="preserve">There is the </w:t>
      </w:r>
      <w:r w:rsidRPr="00F23B18">
        <w:t xml:space="preserve">option for </w:t>
      </w:r>
      <w:r w:rsidR="001164D2">
        <w:t>Requestors</w:t>
      </w:r>
      <w:r w:rsidRPr="00F23B18">
        <w:t xml:space="preserve"> to revert to standard City provisions</w:t>
      </w:r>
      <w:r w:rsidR="00FC1015">
        <w:t xml:space="preserve"> for Sections 5.05, 5.08 and 6.01</w:t>
      </w:r>
      <w:r w:rsidR="00E66FC5">
        <w:t>,</w:t>
      </w:r>
      <w:r w:rsidR="00FC1015">
        <w:t xml:space="preserve"> </w:t>
      </w:r>
      <w:r w:rsidRPr="00F23B18">
        <w:t>if</w:t>
      </w:r>
      <w:r w:rsidR="00E66FC5">
        <w:t xml:space="preserve"> Town+Gown, as Master Contract administrator, consents and</w:t>
      </w:r>
      <w:r w:rsidRPr="00F23B18">
        <w:t xml:space="preserve"> </w:t>
      </w:r>
      <w:r w:rsidR="00E66FC5">
        <w:t>the Town+Gown RFP includes such election(s)</w:t>
      </w:r>
      <w:r w:rsidR="00210425">
        <w:t xml:space="preserve"> with text provided by Town+Gown</w:t>
      </w:r>
      <w:bookmarkStart w:id="8" w:name="_GoBack"/>
      <w:bookmarkEnd w:id="8"/>
      <w:r w:rsidR="00E66FC5">
        <w:t>.</w:t>
      </w:r>
      <w:r w:rsidRPr="00F23B18">
        <w:t xml:space="preserve"> </w:t>
      </w:r>
    </w:p>
    <w:p w:rsidR="00F23B18" w:rsidRPr="00F23B18" w:rsidRDefault="00F23B18" w:rsidP="00F23B18">
      <w:pPr>
        <w:pStyle w:val="ListParagraph"/>
        <w:ind w:left="360"/>
      </w:pPr>
    </w:p>
    <w:p w:rsidR="00F23B18" w:rsidRPr="00F23B18" w:rsidRDefault="00F23B18" w:rsidP="00F23B18">
      <w:pPr>
        <w:pStyle w:val="ListParagraph"/>
        <w:numPr>
          <w:ilvl w:val="0"/>
          <w:numId w:val="4"/>
        </w:numPr>
        <w:spacing w:after="0" w:line="276" w:lineRule="auto"/>
        <w:ind w:left="360"/>
      </w:pPr>
      <w:r w:rsidRPr="00F23B18">
        <w:t xml:space="preserve">The </w:t>
      </w:r>
      <w:r w:rsidR="001164D2">
        <w:t xml:space="preserve">Master </w:t>
      </w:r>
      <w:r w:rsidRPr="00F23B18">
        <w:t xml:space="preserve">Contract is </w:t>
      </w:r>
      <w:r w:rsidR="001164D2">
        <w:t xml:space="preserve">expressly </w:t>
      </w:r>
      <w:r w:rsidR="00131DFB">
        <w:t xml:space="preserve">for faculty-directed research and is </w:t>
      </w:r>
      <w:r w:rsidRPr="00F23B18">
        <w:t>not intended</w:t>
      </w:r>
      <w:r w:rsidR="001164D2">
        <w:t xml:space="preserve"> for agencies</w:t>
      </w:r>
      <w:r w:rsidRPr="00F23B18">
        <w:t xml:space="preserve"> to use as a vehicle </w:t>
      </w:r>
      <w:r w:rsidR="001164D2">
        <w:t xml:space="preserve">to </w:t>
      </w:r>
      <w:r w:rsidRPr="00F23B18">
        <w:t>subcontract</w:t>
      </w:r>
      <w:r w:rsidR="001164D2">
        <w:t xml:space="preserve"> with professional consulting firms.  The Master Contract permits Consultants to propose the use of Subcontractors on a Research Project in their Proposals in Response</w:t>
      </w:r>
      <w:r w:rsidRPr="00F23B18">
        <w:t xml:space="preserve">, but the </w:t>
      </w:r>
      <w:r w:rsidR="001164D2">
        <w:t xml:space="preserve">Master </w:t>
      </w:r>
      <w:r w:rsidRPr="00F23B18">
        <w:t xml:space="preserve">Contract </w:t>
      </w:r>
      <w:r w:rsidR="00583C1A">
        <w:t>has provisions with respect to th</w:t>
      </w:r>
      <w:r w:rsidR="001164D2">
        <w:t xml:space="preserve">at </w:t>
      </w:r>
      <w:r w:rsidRPr="00F23B18">
        <w:t xml:space="preserve">process as well as managing the </w:t>
      </w:r>
      <w:r w:rsidR="00583C1A">
        <w:t>S</w:t>
      </w:r>
      <w:r w:rsidRPr="00F23B18">
        <w:t>ubcontract</w:t>
      </w:r>
      <w:r w:rsidR="00583C1A">
        <w:t>ors</w:t>
      </w:r>
      <w:r w:rsidRPr="00F23B18">
        <w:t xml:space="preserve"> in the context of City rules (Section 3.3(e)(8)).</w:t>
      </w:r>
    </w:p>
    <w:p w:rsidR="00F23B18" w:rsidRPr="00F23B18" w:rsidRDefault="00F23B18" w:rsidP="00F23B18">
      <w:pPr>
        <w:pStyle w:val="ListParagraph"/>
        <w:spacing w:after="0"/>
        <w:ind w:left="360"/>
      </w:pPr>
    </w:p>
    <w:p w:rsidR="00F23B18" w:rsidRPr="00F23B18" w:rsidRDefault="00F23B18" w:rsidP="00F23B18">
      <w:pPr>
        <w:pStyle w:val="ListParagraph"/>
        <w:numPr>
          <w:ilvl w:val="0"/>
          <w:numId w:val="4"/>
        </w:numPr>
        <w:spacing w:after="0" w:line="276" w:lineRule="auto"/>
        <w:ind w:left="360"/>
      </w:pPr>
      <w:r w:rsidRPr="00F23B18">
        <w:t xml:space="preserve">Article 7 of Appendix A relates to insurance requirements and has been revised </w:t>
      </w:r>
      <w:r w:rsidR="00583C1A">
        <w:t xml:space="preserve">from the city standard Appendix A </w:t>
      </w:r>
      <w:r w:rsidRPr="00F23B18">
        <w:t>to reflect the academic setting</w:t>
      </w:r>
      <w:r w:rsidR="005B147B">
        <w:t xml:space="preserve"> by requiring i</w:t>
      </w:r>
      <w:r w:rsidR="00646A27">
        <w:t xml:space="preserve">nsurance </w:t>
      </w:r>
      <w:r w:rsidR="00583C1A">
        <w:t xml:space="preserve">only </w:t>
      </w:r>
      <w:r w:rsidR="005B147B">
        <w:t xml:space="preserve">at </w:t>
      </w:r>
      <w:r w:rsidR="00646A27">
        <w:t>the</w:t>
      </w:r>
      <w:r w:rsidR="005B147B">
        <w:t xml:space="preserve"> Task Order</w:t>
      </w:r>
      <w:r w:rsidR="00646A27">
        <w:t xml:space="preserve"> award stage</w:t>
      </w:r>
      <w:r w:rsidR="005B147B">
        <w:t xml:space="preserve">.  City policy permits </w:t>
      </w:r>
      <w:r w:rsidR="00583C1A">
        <w:t>agencies, in consultation with the City’s Law Department, to omit</w:t>
      </w:r>
      <w:r w:rsidR="005B147B">
        <w:t xml:space="preserve"> certain insurance</w:t>
      </w:r>
      <w:r w:rsidR="005B147B" w:rsidRPr="000C401D">
        <w:t xml:space="preserve"> for contracts of the nature generally covered by the academic research Task Orders</w:t>
      </w:r>
      <w:r w:rsidR="00583C1A">
        <w:t xml:space="preserve"> (commercial general liability, business auto and professional liability insurance), and the Town+Gown RFP requires the Requestor to list in the Town+Gown RFP which insurance policies the Requestor will require and which insurance policies, if any, it will omit, in order to permit Consultants to decline to field a Proposal in Response due to the insurance required and respond instead with a No Bid Response</w:t>
      </w:r>
      <w:r w:rsidR="005B147B">
        <w:t>.</w:t>
      </w:r>
      <w:r w:rsidR="00583C1A">
        <w:t xml:space="preserve">  Insurance mandated by law may not be omitted.</w:t>
      </w:r>
    </w:p>
    <w:p w:rsidR="00F23B18" w:rsidRPr="00F23B18" w:rsidRDefault="00F23B18" w:rsidP="00F23B18">
      <w:pPr>
        <w:pStyle w:val="ListParagraph"/>
        <w:ind w:left="360"/>
      </w:pPr>
    </w:p>
    <w:p w:rsidR="00F23B18" w:rsidRPr="00F23B18" w:rsidRDefault="00F23B18" w:rsidP="00F23B18">
      <w:pPr>
        <w:pStyle w:val="ListParagraph"/>
        <w:numPr>
          <w:ilvl w:val="0"/>
          <w:numId w:val="4"/>
        </w:numPr>
        <w:spacing w:after="0" w:line="276" w:lineRule="auto"/>
        <w:ind w:left="360"/>
      </w:pPr>
      <w:r w:rsidRPr="00F23B18">
        <w:t>Article 10 of Appendix A provides for handling reductions in various funding streams in a way that permits a negotiation between the parties as an alternative to the City’s standard right to unilateral action (Section 10.01), and</w:t>
      </w:r>
      <w:r w:rsidR="00583C1A">
        <w:t xml:space="preserve"> also</w:t>
      </w:r>
      <w:r w:rsidRPr="00F23B18">
        <w:t xml:space="preserve"> provides, to </w:t>
      </w:r>
      <w:r w:rsidRPr="00583C1A">
        <w:rPr>
          <w:i/>
        </w:rPr>
        <w:t>both</w:t>
      </w:r>
      <w:r w:rsidRPr="00F23B18">
        <w:t xml:space="preserve"> parties, the right to terminate the </w:t>
      </w:r>
      <w:r w:rsidR="00583C1A">
        <w:t xml:space="preserve">Master </w:t>
      </w:r>
      <w:r w:rsidRPr="00F23B18">
        <w:t xml:space="preserve">Contract in the best interest of such party, a right most City contracts provide for the City </w:t>
      </w:r>
      <w:r w:rsidR="00583C1A">
        <w:t>only</w:t>
      </w:r>
      <w:r w:rsidRPr="00F23B18">
        <w:t xml:space="preserve"> (Section 10.02).</w:t>
      </w:r>
    </w:p>
    <w:p w:rsidR="00F23B18" w:rsidRPr="00BC33D1" w:rsidRDefault="00F23B18" w:rsidP="00F23B18">
      <w:pPr>
        <w:pStyle w:val="ListParagraph"/>
        <w:spacing w:after="0" w:line="276" w:lineRule="auto"/>
        <w:ind w:left="360"/>
      </w:pPr>
    </w:p>
    <w:sectPr w:rsidR="00F23B18" w:rsidRPr="00BC33D1">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B2" w:rsidRDefault="00447AB2" w:rsidP="00AF40CB">
      <w:pPr>
        <w:spacing w:after="0" w:line="240" w:lineRule="auto"/>
      </w:pPr>
      <w:r>
        <w:separator/>
      </w:r>
    </w:p>
  </w:endnote>
  <w:endnote w:type="continuationSeparator" w:id="0">
    <w:p w:rsidR="00447AB2" w:rsidRDefault="00447AB2" w:rsidP="00AF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B2" w:rsidRDefault="00447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62751"/>
      <w:docPartObj>
        <w:docPartGallery w:val="Page Numbers (Bottom of Page)"/>
        <w:docPartUnique/>
      </w:docPartObj>
    </w:sdtPr>
    <w:sdtEndPr>
      <w:rPr>
        <w:noProof/>
      </w:rPr>
    </w:sdtEndPr>
    <w:sdtContent>
      <w:p w:rsidR="00447AB2" w:rsidRDefault="00447AB2" w:rsidP="007C0232">
        <w:pPr>
          <w:pStyle w:val="Footer"/>
        </w:pPr>
        <w:r>
          <w:t>June 2018 Version</w:t>
        </w:r>
        <w:r>
          <w:tab/>
        </w:r>
        <w:r>
          <w:tab/>
        </w:r>
        <w:r>
          <w:fldChar w:fldCharType="begin"/>
        </w:r>
        <w:r>
          <w:instrText xml:space="preserve"> PAGE   \* MERGEFORMAT </w:instrText>
        </w:r>
        <w:r>
          <w:fldChar w:fldCharType="separate"/>
        </w:r>
        <w:r w:rsidR="00210425">
          <w:rPr>
            <w:noProof/>
          </w:rPr>
          <w:t>12</w:t>
        </w:r>
        <w:r>
          <w:rPr>
            <w:noProof/>
          </w:rPr>
          <w:fldChar w:fldCharType="end"/>
        </w:r>
      </w:p>
    </w:sdtContent>
  </w:sdt>
  <w:p w:rsidR="00447AB2" w:rsidRDefault="00447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B2" w:rsidRDefault="00447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B2" w:rsidRDefault="00447AB2" w:rsidP="00AF40CB">
      <w:pPr>
        <w:spacing w:after="0" w:line="240" w:lineRule="auto"/>
      </w:pPr>
      <w:r>
        <w:separator/>
      </w:r>
    </w:p>
  </w:footnote>
  <w:footnote w:type="continuationSeparator" w:id="0">
    <w:p w:rsidR="00447AB2" w:rsidRDefault="00447AB2" w:rsidP="00AF40CB">
      <w:pPr>
        <w:spacing w:after="0" w:line="240" w:lineRule="auto"/>
      </w:pPr>
      <w:r>
        <w:continuationSeparator/>
      </w:r>
    </w:p>
  </w:footnote>
  <w:footnote w:id="1">
    <w:p w:rsidR="00447AB2" w:rsidRPr="00EB2B39" w:rsidRDefault="00447AB2" w:rsidP="00F23B18">
      <w:pPr>
        <w:pStyle w:val="FootnoteText"/>
        <w:spacing w:line="276" w:lineRule="auto"/>
        <w:rPr>
          <w:sz w:val="18"/>
          <w:szCs w:val="18"/>
        </w:rPr>
      </w:pPr>
      <w:r w:rsidRPr="00EB2B39">
        <w:rPr>
          <w:rStyle w:val="FootnoteReference"/>
          <w:sz w:val="18"/>
          <w:szCs w:val="18"/>
        </w:rPr>
        <w:footnoteRef/>
      </w:r>
      <w:r w:rsidRPr="00EB2B39">
        <w:rPr>
          <w:sz w:val="18"/>
          <w:szCs w:val="18"/>
        </w:rPr>
        <w:t xml:space="preserve">  </w:t>
      </w:r>
      <w:r w:rsidRPr="00EB2B39">
        <w:rPr>
          <w:i/>
          <w:sz w:val="18"/>
          <w:szCs w:val="18"/>
        </w:rPr>
        <w:t xml:space="preserve">See </w:t>
      </w:r>
      <w:r w:rsidRPr="00EB2B39">
        <w:rPr>
          <w:sz w:val="18"/>
          <w:szCs w:val="18"/>
        </w:rPr>
        <w:t>Comptroller’s Directive No.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B2" w:rsidRDefault="00447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B2" w:rsidRDefault="00447AB2">
    <w:pPr>
      <w:pStyle w:val="Header"/>
    </w:pPr>
    <w:r>
      <w:tab/>
    </w:r>
    <w:r>
      <w:tab/>
    </w:r>
  </w:p>
  <w:p w:rsidR="00447AB2" w:rsidRDefault="00447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B2" w:rsidRDefault="0044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2E"/>
    <w:multiLevelType w:val="hybridMultilevel"/>
    <w:tmpl w:val="A6C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63D3"/>
    <w:multiLevelType w:val="hybridMultilevel"/>
    <w:tmpl w:val="B12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83BF7"/>
    <w:multiLevelType w:val="multilevel"/>
    <w:tmpl w:val="8940F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034EA5"/>
    <w:multiLevelType w:val="hybridMultilevel"/>
    <w:tmpl w:val="D5781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F6F41"/>
    <w:multiLevelType w:val="hybridMultilevel"/>
    <w:tmpl w:val="D34EE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6703B5"/>
    <w:multiLevelType w:val="hybridMultilevel"/>
    <w:tmpl w:val="79984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8F448E"/>
    <w:multiLevelType w:val="hybridMultilevel"/>
    <w:tmpl w:val="AE58D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1F7AFE"/>
    <w:multiLevelType w:val="hybridMultilevel"/>
    <w:tmpl w:val="6F80F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3F7A98"/>
    <w:multiLevelType w:val="hybridMultilevel"/>
    <w:tmpl w:val="17264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921426"/>
    <w:multiLevelType w:val="hybridMultilevel"/>
    <w:tmpl w:val="3FCC0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60271F"/>
    <w:multiLevelType w:val="multilevel"/>
    <w:tmpl w:val="0F44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97788"/>
    <w:multiLevelType w:val="hybridMultilevel"/>
    <w:tmpl w:val="31E80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B05613"/>
    <w:multiLevelType w:val="hybridMultilevel"/>
    <w:tmpl w:val="9D925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2D0BDD"/>
    <w:multiLevelType w:val="multilevel"/>
    <w:tmpl w:val="B84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0"/>
  </w:num>
  <w:num w:numId="5">
    <w:abstractNumId w:val="3"/>
  </w:num>
  <w:num w:numId="6">
    <w:abstractNumId w:val="9"/>
  </w:num>
  <w:num w:numId="7">
    <w:abstractNumId w:val="7"/>
  </w:num>
  <w:num w:numId="8">
    <w:abstractNumId w:val="6"/>
  </w:num>
  <w:num w:numId="9">
    <w:abstractNumId w:val="13"/>
  </w:num>
  <w:num w:numId="10">
    <w:abstractNumId w:val="1"/>
  </w:num>
  <w:num w:numId="11">
    <w:abstractNumId w:val="3"/>
  </w:num>
  <w:num w:numId="12">
    <w:abstractNumId w:val="8"/>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D1"/>
    <w:rsid w:val="0001391E"/>
    <w:rsid w:val="00034D5F"/>
    <w:rsid w:val="00034F92"/>
    <w:rsid w:val="00040FD4"/>
    <w:rsid w:val="00074729"/>
    <w:rsid w:val="000C401D"/>
    <w:rsid w:val="001164D2"/>
    <w:rsid w:val="00131DFB"/>
    <w:rsid w:val="00152E5C"/>
    <w:rsid w:val="00164916"/>
    <w:rsid w:val="001808FA"/>
    <w:rsid w:val="00181543"/>
    <w:rsid w:val="00183657"/>
    <w:rsid w:val="001940BB"/>
    <w:rsid w:val="001A705A"/>
    <w:rsid w:val="001C6992"/>
    <w:rsid w:val="001D2770"/>
    <w:rsid w:val="001D6792"/>
    <w:rsid w:val="001F0224"/>
    <w:rsid w:val="00210425"/>
    <w:rsid w:val="00264888"/>
    <w:rsid w:val="00282CE7"/>
    <w:rsid w:val="002B3602"/>
    <w:rsid w:val="002B4AE4"/>
    <w:rsid w:val="002B6320"/>
    <w:rsid w:val="00317C74"/>
    <w:rsid w:val="0033693E"/>
    <w:rsid w:val="00341666"/>
    <w:rsid w:val="003666BB"/>
    <w:rsid w:val="00387252"/>
    <w:rsid w:val="0039795A"/>
    <w:rsid w:val="003B6D23"/>
    <w:rsid w:val="003D014A"/>
    <w:rsid w:val="00413B4B"/>
    <w:rsid w:val="0043295D"/>
    <w:rsid w:val="00445D42"/>
    <w:rsid w:val="00446B64"/>
    <w:rsid w:val="00447AB2"/>
    <w:rsid w:val="00463A2F"/>
    <w:rsid w:val="004A6C35"/>
    <w:rsid w:val="00534C59"/>
    <w:rsid w:val="005422B9"/>
    <w:rsid w:val="005432C9"/>
    <w:rsid w:val="00544FEB"/>
    <w:rsid w:val="0056230A"/>
    <w:rsid w:val="00583C1A"/>
    <w:rsid w:val="005A390B"/>
    <w:rsid w:val="005B147B"/>
    <w:rsid w:val="005C2BB6"/>
    <w:rsid w:val="005D42C1"/>
    <w:rsid w:val="00646A27"/>
    <w:rsid w:val="00660446"/>
    <w:rsid w:val="00673086"/>
    <w:rsid w:val="006A0EA5"/>
    <w:rsid w:val="006C6FDC"/>
    <w:rsid w:val="006E0AD4"/>
    <w:rsid w:val="006E61A2"/>
    <w:rsid w:val="006E64B4"/>
    <w:rsid w:val="007331B2"/>
    <w:rsid w:val="00773AD9"/>
    <w:rsid w:val="007772F3"/>
    <w:rsid w:val="007A6473"/>
    <w:rsid w:val="007C0232"/>
    <w:rsid w:val="007C7CE1"/>
    <w:rsid w:val="007E5B6E"/>
    <w:rsid w:val="007F11AA"/>
    <w:rsid w:val="007F40C1"/>
    <w:rsid w:val="008035D7"/>
    <w:rsid w:val="00840A8A"/>
    <w:rsid w:val="008752E6"/>
    <w:rsid w:val="0089516F"/>
    <w:rsid w:val="008C715C"/>
    <w:rsid w:val="008E69CE"/>
    <w:rsid w:val="008F140D"/>
    <w:rsid w:val="00905DE9"/>
    <w:rsid w:val="0091032D"/>
    <w:rsid w:val="009624A9"/>
    <w:rsid w:val="009A11DE"/>
    <w:rsid w:val="009E1BFC"/>
    <w:rsid w:val="00A566FF"/>
    <w:rsid w:val="00A5747C"/>
    <w:rsid w:val="00A6101C"/>
    <w:rsid w:val="00A73E72"/>
    <w:rsid w:val="00AB71C7"/>
    <w:rsid w:val="00AC133B"/>
    <w:rsid w:val="00AD1FEC"/>
    <w:rsid w:val="00AF40CB"/>
    <w:rsid w:val="00AF469C"/>
    <w:rsid w:val="00B16BB7"/>
    <w:rsid w:val="00B36A4E"/>
    <w:rsid w:val="00B5419B"/>
    <w:rsid w:val="00B95F31"/>
    <w:rsid w:val="00BA61C6"/>
    <w:rsid w:val="00BB196F"/>
    <w:rsid w:val="00BC33D1"/>
    <w:rsid w:val="00C01FB1"/>
    <w:rsid w:val="00C03F12"/>
    <w:rsid w:val="00C24AD6"/>
    <w:rsid w:val="00C67877"/>
    <w:rsid w:val="00C90C14"/>
    <w:rsid w:val="00CD2493"/>
    <w:rsid w:val="00CD5AF5"/>
    <w:rsid w:val="00CD6E23"/>
    <w:rsid w:val="00CE5D27"/>
    <w:rsid w:val="00CF71BD"/>
    <w:rsid w:val="00D34595"/>
    <w:rsid w:val="00D55A57"/>
    <w:rsid w:val="00D62522"/>
    <w:rsid w:val="00D707C6"/>
    <w:rsid w:val="00D83F44"/>
    <w:rsid w:val="00D8637A"/>
    <w:rsid w:val="00DF3324"/>
    <w:rsid w:val="00DF39DF"/>
    <w:rsid w:val="00E23976"/>
    <w:rsid w:val="00E577A4"/>
    <w:rsid w:val="00E651D9"/>
    <w:rsid w:val="00E66FC5"/>
    <w:rsid w:val="00E940B9"/>
    <w:rsid w:val="00F05732"/>
    <w:rsid w:val="00F21A4A"/>
    <w:rsid w:val="00F23B18"/>
    <w:rsid w:val="00F42B6C"/>
    <w:rsid w:val="00F82309"/>
    <w:rsid w:val="00FA2F81"/>
    <w:rsid w:val="00FB230D"/>
    <w:rsid w:val="00FC1015"/>
    <w:rsid w:val="00FC613B"/>
    <w:rsid w:val="00FE2E64"/>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5D58F"/>
  <w15:chartTrackingRefBased/>
  <w15:docId w15:val="{7AB0759E-17EB-4233-B21D-EC9DE1EE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940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0B9"/>
    <w:rPr>
      <w:color w:val="0000FF"/>
      <w:u w:val="single"/>
    </w:rPr>
  </w:style>
  <w:style w:type="paragraph" w:styleId="NormalWeb">
    <w:name w:val="Normal (Web)"/>
    <w:basedOn w:val="Normal"/>
    <w:uiPriority w:val="99"/>
    <w:unhideWhenUsed/>
    <w:rsid w:val="00E9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940B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F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CB"/>
  </w:style>
  <w:style w:type="paragraph" w:styleId="Footer">
    <w:name w:val="footer"/>
    <w:basedOn w:val="Normal"/>
    <w:link w:val="FooterChar"/>
    <w:uiPriority w:val="99"/>
    <w:unhideWhenUsed/>
    <w:rsid w:val="00AF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CB"/>
  </w:style>
  <w:style w:type="paragraph" w:styleId="ListParagraph">
    <w:name w:val="List Paragraph"/>
    <w:basedOn w:val="Normal"/>
    <w:uiPriority w:val="34"/>
    <w:qFormat/>
    <w:rsid w:val="00FB230D"/>
    <w:pPr>
      <w:ind w:left="720"/>
      <w:contextualSpacing/>
    </w:pPr>
  </w:style>
  <w:style w:type="paragraph" w:styleId="FootnoteText">
    <w:name w:val="footnote text"/>
    <w:basedOn w:val="Normal"/>
    <w:link w:val="FootnoteTextChar"/>
    <w:semiHidden/>
    <w:unhideWhenUsed/>
    <w:rsid w:val="002B3602"/>
    <w:pPr>
      <w:spacing w:after="0" w:line="240" w:lineRule="auto"/>
    </w:pPr>
    <w:rPr>
      <w:sz w:val="20"/>
      <w:szCs w:val="20"/>
    </w:rPr>
  </w:style>
  <w:style w:type="character" w:customStyle="1" w:styleId="FootnoteTextChar">
    <w:name w:val="Footnote Text Char"/>
    <w:basedOn w:val="DefaultParagraphFont"/>
    <w:link w:val="FootnoteText"/>
    <w:semiHidden/>
    <w:rsid w:val="002B3602"/>
    <w:rPr>
      <w:sz w:val="20"/>
      <w:szCs w:val="20"/>
    </w:rPr>
  </w:style>
  <w:style w:type="character" w:styleId="FootnoteReference">
    <w:name w:val="footnote reference"/>
    <w:basedOn w:val="DefaultParagraphFont"/>
    <w:semiHidden/>
    <w:unhideWhenUsed/>
    <w:rsid w:val="002B3602"/>
    <w:rPr>
      <w:vertAlign w:val="superscript"/>
    </w:rPr>
  </w:style>
  <w:style w:type="table" w:styleId="TableGrid">
    <w:name w:val="Table Grid"/>
    <w:basedOn w:val="TableNormal"/>
    <w:uiPriority w:val="39"/>
    <w:rsid w:val="002B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6D23"/>
    <w:rPr>
      <w:color w:val="808080"/>
      <w:shd w:val="clear" w:color="auto" w:fill="E6E6E6"/>
    </w:rPr>
  </w:style>
  <w:style w:type="paragraph" w:styleId="BalloonText">
    <w:name w:val="Balloon Text"/>
    <w:basedOn w:val="Normal"/>
    <w:link w:val="BalloonTextChar"/>
    <w:uiPriority w:val="99"/>
    <w:semiHidden/>
    <w:unhideWhenUsed/>
    <w:rsid w:val="007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57652">
      <w:bodyDiv w:val="1"/>
      <w:marLeft w:val="0"/>
      <w:marRight w:val="0"/>
      <w:marTop w:val="0"/>
      <w:marBottom w:val="0"/>
      <w:divBdr>
        <w:top w:val="none" w:sz="0" w:space="0" w:color="auto"/>
        <w:left w:val="none" w:sz="0" w:space="0" w:color="auto"/>
        <w:bottom w:val="none" w:sz="0" w:space="0" w:color="auto"/>
        <w:right w:val="none" w:sz="0" w:space="0" w:color="auto"/>
      </w:divBdr>
      <w:divsChild>
        <w:div w:id="1282225524">
          <w:marLeft w:val="0"/>
          <w:marRight w:val="0"/>
          <w:marTop w:val="0"/>
          <w:marBottom w:val="0"/>
          <w:divBdr>
            <w:top w:val="none" w:sz="0" w:space="0" w:color="auto"/>
            <w:left w:val="none" w:sz="0" w:space="0" w:color="auto"/>
            <w:bottom w:val="none" w:sz="0" w:space="0" w:color="auto"/>
            <w:right w:val="none" w:sz="0" w:space="0" w:color="auto"/>
          </w:divBdr>
          <w:divsChild>
            <w:div w:id="365982887">
              <w:marLeft w:val="0"/>
              <w:marRight w:val="0"/>
              <w:marTop w:val="0"/>
              <w:marBottom w:val="0"/>
              <w:divBdr>
                <w:top w:val="none" w:sz="0" w:space="0" w:color="auto"/>
                <w:left w:val="none" w:sz="0" w:space="0" w:color="auto"/>
                <w:bottom w:val="none" w:sz="0" w:space="0" w:color="auto"/>
                <w:right w:val="none" w:sz="0" w:space="0" w:color="auto"/>
              </w:divBdr>
              <w:divsChild>
                <w:div w:id="1787771965">
                  <w:marLeft w:val="0"/>
                  <w:marRight w:val="0"/>
                  <w:marTop w:val="0"/>
                  <w:marBottom w:val="0"/>
                  <w:divBdr>
                    <w:top w:val="none" w:sz="0" w:space="0" w:color="auto"/>
                    <w:left w:val="none" w:sz="0" w:space="0" w:color="auto"/>
                    <w:bottom w:val="none" w:sz="0" w:space="0" w:color="auto"/>
                    <w:right w:val="none" w:sz="0" w:space="0" w:color="auto"/>
                  </w:divBdr>
                  <w:divsChild>
                    <w:div w:id="243078395">
                      <w:marLeft w:val="0"/>
                      <w:marRight w:val="0"/>
                      <w:marTop w:val="0"/>
                      <w:marBottom w:val="0"/>
                      <w:divBdr>
                        <w:top w:val="none" w:sz="0" w:space="0" w:color="auto"/>
                        <w:left w:val="none" w:sz="0" w:space="0" w:color="auto"/>
                        <w:bottom w:val="none" w:sz="0" w:space="0" w:color="auto"/>
                        <w:right w:val="none" w:sz="0" w:space="0" w:color="auto"/>
                      </w:divBdr>
                      <w:divsChild>
                        <w:div w:id="1579632649">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957030441">
                                  <w:marLeft w:val="0"/>
                                  <w:marRight w:val="0"/>
                                  <w:marTop w:val="0"/>
                                  <w:marBottom w:val="0"/>
                                  <w:divBdr>
                                    <w:top w:val="none" w:sz="0" w:space="0" w:color="auto"/>
                                    <w:left w:val="none" w:sz="0" w:space="0" w:color="auto"/>
                                    <w:bottom w:val="none" w:sz="0" w:space="0" w:color="auto"/>
                                    <w:right w:val="none" w:sz="0" w:space="0" w:color="auto"/>
                                  </w:divBdr>
                                  <w:divsChild>
                                    <w:div w:id="1943025322">
                                      <w:marLeft w:val="0"/>
                                      <w:marRight w:val="0"/>
                                      <w:marTop w:val="0"/>
                                      <w:marBottom w:val="0"/>
                                      <w:divBdr>
                                        <w:top w:val="none" w:sz="0" w:space="0" w:color="auto"/>
                                        <w:left w:val="none" w:sz="0" w:space="0" w:color="auto"/>
                                        <w:bottom w:val="none" w:sz="0" w:space="0" w:color="auto"/>
                                        <w:right w:val="none" w:sz="0" w:space="0" w:color="auto"/>
                                      </w:divBdr>
                                      <w:divsChild>
                                        <w:div w:id="557788006">
                                          <w:marLeft w:val="0"/>
                                          <w:marRight w:val="0"/>
                                          <w:marTop w:val="0"/>
                                          <w:marBottom w:val="0"/>
                                          <w:divBdr>
                                            <w:top w:val="none" w:sz="0" w:space="0" w:color="auto"/>
                                            <w:left w:val="none" w:sz="0" w:space="0" w:color="auto"/>
                                            <w:bottom w:val="none" w:sz="0" w:space="0" w:color="auto"/>
                                            <w:right w:val="none" w:sz="0" w:space="0" w:color="auto"/>
                                          </w:divBdr>
                                          <w:divsChild>
                                            <w:div w:id="274941537">
                                              <w:marLeft w:val="0"/>
                                              <w:marRight w:val="0"/>
                                              <w:marTop w:val="0"/>
                                              <w:marBottom w:val="0"/>
                                              <w:divBdr>
                                                <w:top w:val="none" w:sz="0" w:space="0" w:color="auto"/>
                                                <w:left w:val="none" w:sz="0" w:space="0" w:color="auto"/>
                                                <w:bottom w:val="none" w:sz="0" w:space="0" w:color="auto"/>
                                                <w:right w:val="none" w:sz="0" w:space="0" w:color="auto"/>
                                              </w:divBdr>
                                              <w:divsChild>
                                                <w:div w:id="763962751">
                                                  <w:marLeft w:val="0"/>
                                                  <w:marRight w:val="0"/>
                                                  <w:marTop w:val="0"/>
                                                  <w:marBottom w:val="0"/>
                                                  <w:divBdr>
                                                    <w:top w:val="none" w:sz="0" w:space="0" w:color="auto"/>
                                                    <w:left w:val="none" w:sz="0" w:space="0" w:color="auto"/>
                                                    <w:bottom w:val="none" w:sz="0" w:space="0" w:color="auto"/>
                                                    <w:right w:val="none" w:sz="0" w:space="0" w:color="auto"/>
                                                  </w:divBdr>
                                                  <w:divsChild>
                                                    <w:div w:id="807553551">
                                                      <w:marLeft w:val="0"/>
                                                      <w:marRight w:val="0"/>
                                                      <w:marTop w:val="0"/>
                                                      <w:marBottom w:val="0"/>
                                                      <w:divBdr>
                                                        <w:top w:val="none" w:sz="0" w:space="0" w:color="auto"/>
                                                        <w:left w:val="none" w:sz="0" w:space="0" w:color="auto"/>
                                                        <w:bottom w:val="none" w:sz="0" w:space="0" w:color="auto"/>
                                                        <w:right w:val="none" w:sz="0" w:space="0" w:color="auto"/>
                                                      </w:divBdr>
                                                      <w:divsChild>
                                                        <w:div w:id="646712188">
                                                          <w:marLeft w:val="0"/>
                                                          <w:marRight w:val="0"/>
                                                          <w:marTop w:val="0"/>
                                                          <w:marBottom w:val="0"/>
                                                          <w:divBdr>
                                                            <w:top w:val="none" w:sz="0" w:space="0" w:color="auto"/>
                                                            <w:left w:val="none" w:sz="0" w:space="0" w:color="auto"/>
                                                            <w:bottom w:val="none" w:sz="0" w:space="0" w:color="auto"/>
                                                            <w:right w:val="none" w:sz="0" w:space="0" w:color="auto"/>
                                                          </w:divBdr>
                                                          <w:divsChild>
                                                            <w:div w:id="918753729">
                                                              <w:marLeft w:val="0"/>
                                                              <w:marRight w:val="0"/>
                                                              <w:marTop w:val="0"/>
                                                              <w:marBottom w:val="0"/>
                                                              <w:divBdr>
                                                                <w:top w:val="none" w:sz="0" w:space="0" w:color="auto"/>
                                                                <w:left w:val="none" w:sz="0" w:space="0" w:color="auto"/>
                                                                <w:bottom w:val="none" w:sz="0" w:space="0" w:color="auto"/>
                                                                <w:right w:val="none" w:sz="0" w:space="0" w:color="auto"/>
                                                              </w:divBdr>
                                                              <w:divsChild>
                                                                <w:div w:id="492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040643">
      <w:bodyDiv w:val="1"/>
      <w:marLeft w:val="0"/>
      <w:marRight w:val="0"/>
      <w:marTop w:val="0"/>
      <w:marBottom w:val="0"/>
      <w:divBdr>
        <w:top w:val="none" w:sz="0" w:space="0" w:color="auto"/>
        <w:left w:val="none" w:sz="0" w:space="0" w:color="auto"/>
        <w:bottom w:val="none" w:sz="0" w:space="0" w:color="auto"/>
        <w:right w:val="none" w:sz="0" w:space="0" w:color="auto"/>
      </w:divBdr>
      <w:divsChild>
        <w:div w:id="1679380934">
          <w:marLeft w:val="0"/>
          <w:marRight w:val="0"/>
          <w:marTop w:val="0"/>
          <w:marBottom w:val="0"/>
          <w:divBdr>
            <w:top w:val="none" w:sz="0" w:space="0" w:color="auto"/>
            <w:left w:val="none" w:sz="0" w:space="0" w:color="auto"/>
            <w:bottom w:val="none" w:sz="0" w:space="0" w:color="auto"/>
            <w:right w:val="none" w:sz="0" w:space="0" w:color="auto"/>
          </w:divBdr>
          <w:divsChild>
            <w:div w:id="888422677">
              <w:marLeft w:val="0"/>
              <w:marRight w:val="0"/>
              <w:marTop w:val="0"/>
              <w:marBottom w:val="0"/>
              <w:divBdr>
                <w:top w:val="none" w:sz="0" w:space="0" w:color="auto"/>
                <w:left w:val="none" w:sz="0" w:space="0" w:color="auto"/>
                <w:bottom w:val="none" w:sz="0" w:space="0" w:color="auto"/>
                <w:right w:val="none" w:sz="0" w:space="0" w:color="auto"/>
              </w:divBdr>
              <w:divsChild>
                <w:div w:id="877396710">
                  <w:marLeft w:val="0"/>
                  <w:marRight w:val="0"/>
                  <w:marTop w:val="0"/>
                  <w:marBottom w:val="0"/>
                  <w:divBdr>
                    <w:top w:val="none" w:sz="0" w:space="0" w:color="auto"/>
                    <w:left w:val="none" w:sz="0" w:space="0" w:color="auto"/>
                    <w:bottom w:val="none" w:sz="0" w:space="0" w:color="auto"/>
                    <w:right w:val="none" w:sz="0" w:space="0" w:color="auto"/>
                  </w:divBdr>
                  <w:divsChild>
                    <w:div w:id="1088380112">
                      <w:marLeft w:val="0"/>
                      <w:marRight w:val="0"/>
                      <w:marTop w:val="0"/>
                      <w:marBottom w:val="0"/>
                      <w:divBdr>
                        <w:top w:val="none" w:sz="0" w:space="0" w:color="auto"/>
                        <w:left w:val="none" w:sz="0" w:space="0" w:color="auto"/>
                        <w:bottom w:val="none" w:sz="0" w:space="0" w:color="auto"/>
                        <w:right w:val="none" w:sz="0" w:space="0" w:color="auto"/>
                      </w:divBdr>
                      <w:divsChild>
                        <w:div w:id="895704602">
                          <w:marLeft w:val="0"/>
                          <w:marRight w:val="0"/>
                          <w:marTop w:val="0"/>
                          <w:marBottom w:val="0"/>
                          <w:divBdr>
                            <w:top w:val="none" w:sz="0" w:space="0" w:color="auto"/>
                            <w:left w:val="none" w:sz="0" w:space="0" w:color="auto"/>
                            <w:bottom w:val="none" w:sz="0" w:space="0" w:color="auto"/>
                            <w:right w:val="none" w:sz="0" w:space="0" w:color="auto"/>
                          </w:divBdr>
                          <w:divsChild>
                            <w:div w:id="488713237">
                              <w:marLeft w:val="0"/>
                              <w:marRight w:val="0"/>
                              <w:marTop w:val="0"/>
                              <w:marBottom w:val="0"/>
                              <w:divBdr>
                                <w:top w:val="none" w:sz="0" w:space="0" w:color="auto"/>
                                <w:left w:val="none" w:sz="0" w:space="0" w:color="auto"/>
                                <w:bottom w:val="none" w:sz="0" w:space="0" w:color="auto"/>
                                <w:right w:val="none" w:sz="0" w:space="0" w:color="auto"/>
                              </w:divBdr>
                              <w:divsChild>
                                <w:div w:id="1923640909">
                                  <w:marLeft w:val="0"/>
                                  <w:marRight w:val="0"/>
                                  <w:marTop w:val="0"/>
                                  <w:marBottom w:val="0"/>
                                  <w:divBdr>
                                    <w:top w:val="none" w:sz="0" w:space="0" w:color="auto"/>
                                    <w:left w:val="none" w:sz="0" w:space="0" w:color="auto"/>
                                    <w:bottom w:val="none" w:sz="0" w:space="0" w:color="auto"/>
                                    <w:right w:val="none" w:sz="0" w:space="0" w:color="auto"/>
                                  </w:divBdr>
                                  <w:divsChild>
                                    <w:div w:id="1648779697">
                                      <w:marLeft w:val="0"/>
                                      <w:marRight w:val="0"/>
                                      <w:marTop w:val="0"/>
                                      <w:marBottom w:val="0"/>
                                      <w:divBdr>
                                        <w:top w:val="none" w:sz="0" w:space="0" w:color="auto"/>
                                        <w:left w:val="none" w:sz="0" w:space="0" w:color="auto"/>
                                        <w:bottom w:val="none" w:sz="0" w:space="0" w:color="auto"/>
                                        <w:right w:val="none" w:sz="0" w:space="0" w:color="auto"/>
                                      </w:divBdr>
                                      <w:divsChild>
                                        <w:div w:id="619725885">
                                          <w:marLeft w:val="0"/>
                                          <w:marRight w:val="0"/>
                                          <w:marTop w:val="0"/>
                                          <w:marBottom w:val="0"/>
                                          <w:divBdr>
                                            <w:top w:val="none" w:sz="0" w:space="0" w:color="auto"/>
                                            <w:left w:val="none" w:sz="0" w:space="0" w:color="auto"/>
                                            <w:bottom w:val="none" w:sz="0" w:space="0" w:color="auto"/>
                                            <w:right w:val="none" w:sz="0" w:space="0" w:color="auto"/>
                                          </w:divBdr>
                                          <w:divsChild>
                                            <w:div w:id="819031429">
                                              <w:marLeft w:val="0"/>
                                              <w:marRight w:val="0"/>
                                              <w:marTop w:val="0"/>
                                              <w:marBottom w:val="0"/>
                                              <w:divBdr>
                                                <w:top w:val="none" w:sz="0" w:space="0" w:color="auto"/>
                                                <w:left w:val="none" w:sz="0" w:space="0" w:color="auto"/>
                                                <w:bottom w:val="none" w:sz="0" w:space="0" w:color="auto"/>
                                                <w:right w:val="none" w:sz="0" w:space="0" w:color="auto"/>
                                              </w:divBdr>
                                              <w:divsChild>
                                                <w:div w:id="658656012">
                                                  <w:marLeft w:val="0"/>
                                                  <w:marRight w:val="0"/>
                                                  <w:marTop w:val="0"/>
                                                  <w:marBottom w:val="0"/>
                                                  <w:divBdr>
                                                    <w:top w:val="none" w:sz="0" w:space="0" w:color="auto"/>
                                                    <w:left w:val="none" w:sz="0" w:space="0" w:color="auto"/>
                                                    <w:bottom w:val="none" w:sz="0" w:space="0" w:color="auto"/>
                                                    <w:right w:val="none" w:sz="0" w:space="0" w:color="auto"/>
                                                  </w:divBdr>
                                                  <w:divsChild>
                                                    <w:div w:id="1863471678">
                                                      <w:marLeft w:val="0"/>
                                                      <w:marRight w:val="0"/>
                                                      <w:marTop w:val="0"/>
                                                      <w:marBottom w:val="0"/>
                                                      <w:divBdr>
                                                        <w:top w:val="none" w:sz="0" w:space="0" w:color="auto"/>
                                                        <w:left w:val="none" w:sz="0" w:space="0" w:color="auto"/>
                                                        <w:bottom w:val="none" w:sz="0" w:space="0" w:color="auto"/>
                                                        <w:right w:val="none" w:sz="0" w:space="0" w:color="auto"/>
                                                      </w:divBdr>
                                                      <w:divsChild>
                                                        <w:div w:id="284385256">
                                                          <w:marLeft w:val="0"/>
                                                          <w:marRight w:val="0"/>
                                                          <w:marTop w:val="0"/>
                                                          <w:marBottom w:val="0"/>
                                                          <w:divBdr>
                                                            <w:top w:val="none" w:sz="0" w:space="0" w:color="auto"/>
                                                            <w:left w:val="none" w:sz="0" w:space="0" w:color="auto"/>
                                                            <w:bottom w:val="none" w:sz="0" w:space="0" w:color="auto"/>
                                                            <w:right w:val="none" w:sz="0" w:space="0" w:color="auto"/>
                                                          </w:divBdr>
                                                          <w:divsChild>
                                                            <w:div w:id="1759981034">
                                                              <w:marLeft w:val="0"/>
                                                              <w:marRight w:val="0"/>
                                                              <w:marTop w:val="0"/>
                                                              <w:marBottom w:val="0"/>
                                                              <w:divBdr>
                                                                <w:top w:val="none" w:sz="0" w:space="0" w:color="auto"/>
                                                                <w:left w:val="none" w:sz="0" w:space="0" w:color="auto"/>
                                                                <w:bottom w:val="none" w:sz="0" w:space="0" w:color="auto"/>
                                                                <w:right w:val="none" w:sz="0" w:space="0" w:color="auto"/>
                                                              </w:divBdr>
                                                              <w:divsChild>
                                                                <w:div w:id="10147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633578">
      <w:bodyDiv w:val="1"/>
      <w:marLeft w:val="0"/>
      <w:marRight w:val="0"/>
      <w:marTop w:val="0"/>
      <w:marBottom w:val="0"/>
      <w:divBdr>
        <w:top w:val="none" w:sz="0" w:space="0" w:color="auto"/>
        <w:left w:val="none" w:sz="0" w:space="0" w:color="auto"/>
        <w:bottom w:val="none" w:sz="0" w:space="0" w:color="auto"/>
        <w:right w:val="none" w:sz="0" w:space="0" w:color="auto"/>
      </w:divBdr>
    </w:div>
    <w:div w:id="1524979487">
      <w:bodyDiv w:val="1"/>
      <w:marLeft w:val="0"/>
      <w:marRight w:val="0"/>
      <w:marTop w:val="0"/>
      <w:marBottom w:val="0"/>
      <w:divBdr>
        <w:top w:val="none" w:sz="0" w:space="0" w:color="auto"/>
        <w:left w:val="none" w:sz="0" w:space="0" w:color="auto"/>
        <w:bottom w:val="none" w:sz="0" w:space="0" w:color="auto"/>
        <w:right w:val="none" w:sz="0" w:space="0" w:color="auto"/>
      </w:divBdr>
    </w:div>
    <w:div w:id="1544975611">
      <w:bodyDiv w:val="1"/>
      <w:marLeft w:val="0"/>
      <w:marRight w:val="0"/>
      <w:marTop w:val="0"/>
      <w:marBottom w:val="0"/>
      <w:divBdr>
        <w:top w:val="none" w:sz="0" w:space="0" w:color="auto"/>
        <w:left w:val="none" w:sz="0" w:space="0" w:color="auto"/>
        <w:bottom w:val="none" w:sz="0" w:space="0" w:color="auto"/>
        <w:right w:val="none" w:sz="0" w:space="0" w:color="auto"/>
      </w:divBdr>
    </w:div>
    <w:div w:id="20131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drexel.edu/" TargetMode="External"/><Relationship Id="rId26" Type="http://schemas.openxmlformats.org/officeDocument/2006/relationships/hyperlink" Target="http://cooper.e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yit.edu/" TargetMode="External"/><Relationship Id="rId34" Type="http://schemas.openxmlformats.org/officeDocument/2006/relationships/hyperlink" Target="mailto:matthewte@ddc.nyc.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nyc.gov/site/ddc/about/town-gown.page" TargetMode="External"/><Relationship Id="rId17" Type="http://schemas.openxmlformats.org/officeDocument/2006/relationships/hyperlink" Target="https://www.cornell.edu/" TargetMode="External"/><Relationship Id="rId25" Type="http://schemas.openxmlformats.org/officeDocument/2006/relationships/hyperlink" Target="https://www.suny.edu/" TargetMode="External"/><Relationship Id="rId33" Type="http://schemas.openxmlformats.org/officeDocument/2006/relationships/hyperlink" Target="mailto:MendozaNi@ddc.nyc.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umbia.edu/" TargetMode="External"/><Relationship Id="rId20" Type="http://schemas.openxmlformats.org/officeDocument/2006/relationships/hyperlink" Target="https://manhattan.edu/" TargetMode="External"/><Relationship Id="rId29" Type="http://schemas.openxmlformats.org/officeDocument/2006/relationships/hyperlink" Target="mailto:matthewte@ddc.nyc.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dozaNi@ddc.nyc.gov" TargetMode="External"/><Relationship Id="rId24" Type="http://schemas.openxmlformats.org/officeDocument/2006/relationships/hyperlink" Target="https://www.pratt.edu/" TargetMode="External"/><Relationship Id="rId32" Type="http://schemas.openxmlformats.org/officeDocument/2006/relationships/hyperlink" Target="mailto:MendozaNi@ddc.nyc.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2.cuny.edu/" TargetMode="External"/><Relationship Id="rId23" Type="http://schemas.openxmlformats.org/officeDocument/2006/relationships/hyperlink" Target="http://www.pace.edu/" TargetMode="External"/><Relationship Id="rId28" Type="http://schemas.openxmlformats.org/officeDocument/2006/relationships/hyperlink" Target="http://www.tufts.edu/" TargetMode="External"/><Relationship Id="rId36" Type="http://schemas.openxmlformats.org/officeDocument/2006/relationships/header" Target="header1.xml"/><Relationship Id="rId10" Type="http://schemas.openxmlformats.org/officeDocument/2006/relationships/hyperlink" Target="mailto:matthewte@ddc.nyc.gov" TargetMode="External"/><Relationship Id="rId19" Type="http://schemas.openxmlformats.org/officeDocument/2006/relationships/hyperlink" Target="http://www.fordham.edu/" TargetMode="External"/><Relationship Id="rId31" Type="http://schemas.openxmlformats.org/officeDocument/2006/relationships/hyperlink" Target="mailto:MendozaNi@ddc.nyc.gov)" TargetMode="External"/><Relationship Id="rId4" Type="http://schemas.openxmlformats.org/officeDocument/2006/relationships/settings" Target="settings.xml"/><Relationship Id="rId9" Type="http://schemas.openxmlformats.org/officeDocument/2006/relationships/hyperlink" Target="http://www1.nyc.gov/site/ddc/about/town-gown-components.page" TargetMode="External"/><Relationship Id="rId14" Type="http://schemas.openxmlformats.org/officeDocument/2006/relationships/hyperlink" Target="https://www.brooklaw.edu/" TargetMode="External"/><Relationship Id="rId22" Type="http://schemas.openxmlformats.org/officeDocument/2006/relationships/hyperlink" Target="http://www.nyu.edu/" TargetMode="External"/><Relationship Id="rId27" Type="http://schemas.openxmlformats.org/officeDocument/2006/relationships/hyperlink" Target="http://www.newschool.edu/" TargetMode="External"/><Relationship Id="rId30" Type="http://schemas.openxmlformats.org/officeDocument/2006/relationships/hyperlink" Target="mailto:MendozaNi@ddc.nyc.gov)" TargetMode="External"/><Relationship Id="rId35" Type="http://schemas.openxmlformats.org/officeDocument/2006/relationships/hyperlink" Target="mailto:MendozaNi@ddc.nyc.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8783-34C6-4CED-9410-613ABBBD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 (DDC)</dc:creator>
  <cp:keywords/>
  <dc:description/>
  <cp:lastModifiedBy>Matthews, Terri (DDC)</cp:lastModifiedBy>
  <cp:revision>2</cp:revision>
  <cp:lastPrinted>2018-06-11T19:21:00Z</cp:lastPrinted>
  <dcterms:created xsi:type="dcterms:W3CDTF">2018-11-16T18:47:00Z</dcterms:created>
  <dcterms:modified xsi:type="dcterms:W3CDTF">2018-11-16T18:47:00Z</dcterms:modified>
</cp:coreProperties>
</file>